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44"/>
        </w:rPr>
      </w:pPr>
    </w:p>
    <w:p>
      <w:pPr>
        <w:jc w:val="center"/>
        <w:rPr>
          <w:rFonts w:eastAsia="黑体"/>
          <w:sz w:val="44"/>
        </w:rPr>
      </w:pPr>
    </w:p>
    <w:p>
      <w:pPr>
        <w:jc w:val="center"/>
        <w:rPr>
          <w:rFonts w:eastAsia="黑体"/>
          <w:sz w:val="44"/>
        </w:rPr>
      </w:pPr>
    </w:p>
    <w:p>
      <w:pPr>
        <w:jc w:val="center"/>
        <w:rPr>
          <w:rFonts w:eastAsia="黑体"/>
          <w:sz w:val="44"/>
        </w:rPr>
      </w:pPr>
    </w:p>
    <w:p>
      <w:pPr>
        <w:jc w:val="center"/>
        <w:rPr>
          <w:rFonts w:eastAsia="楷体_GB2312"/>
          <w:b/>
          <w:bCs/>
          <w:sz w:val="44"/>
        </w:rPr>
      </w:pPr>
    </w:p>
    <w:p>
      <w:pPr>
        <w:jc w:val="center"/>
        <w:rPr>
          <w:rFonts w:eastAsia="楷体_GB2312"/>
          <w:b/>
          <w:bCs/>
          <w:sz w:val="44"/>
        </w:rPr>
      </w:pPr>
    </w:p>
    <w:p>
      <w:pPr>
        <w:jc w:val="center"/>
        <w:rPr>
          <w:rFonts w:eastAsia="黑体"/>
          <w:b/>
          <w:bCs/>
          <w:sz w:val="44"/>
          <w:szCs w:val="44"/>
        </w:rPr>
      </w:pPr>
    </w:p>
    <w:p>
      <w:pPr>
        <w:jc w:val="center"/>
        <w:rPr>
          <w:rFonts w:cs="宋体"/>
          <w:b/>
          <w:bCs/>
          <w:sz w:val="44"/>
          <w:szCs w:val="44"/>
        </w:rPr>
      </w:pPr>
      <w:r>
        <w:rPr>
          <w:rFonts w:hint="eastAsia" w:hAnsi="宋体" w:cs="宋体"/>
          <w:b/>
          <w:bCs/>
          <w:sz w:val="44"/>
          <w:szCs w:val="44"/>
        </w:rPr>
        <w:t>桂林市经济体制改革“十三五”规划</w:t>
      </w: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spacing w:line="360" w:lineRule="auto"/>
        <w:jc w:val="center"/>
        <w:rPr>
          <w:rFonts w:eastAsia="楷体_GB2312"/>
          <w:sz w:val="32"/>
        </w:rPr>
        <w:sectPr>
          <w:pgSz w:w="11906" w:h="16838"/>
          <w:pgMar w:top="1440" w:right="1646" w:bottom="1440" w:left="1800" w:header="851" w:footer="992" w:gutter="0"/>
          <w:cols w:space="720" w:num="1"/>
          <w:docGrid w:type="lines" w:linePitch="312" w:charSpace="0"/>
        </w:sectPr>
      </w:pPr>
      <w:r>
        <w:rPr>
          <w:rFonts w:eastAsia="楷体_GB2312"/>
          <w:sz w:val="32"/>
        </w:rPr>
        <w:t>2017</w:t>
      </w:r>
      <w:r>
        <w:rPr>
          <w:rFonts w:hint="eastAsia" w:eastAsia="楷体_GB2312"/>
          <w:sz w:val="32"/>
        </w:rPr>
        <w:t>年</w:t>
      </w:r>
      <w:r>
        <w:rPr>
          <w:rFonts w:eastAsia="楷体_GB2312"/>
          <w:sz w:val="32"/>
        </w:rPr>
        <w:t>3</w:t>
      </w:r>
      <w:r>
        <w:rPr>
          <w:rFonts w:hint="eastAsia" w:eastAsia="楷体_GB2312"/>
          <w:sz w:val="32"/>
        </w:rPr>
        <w:t>月</w:t>
      </w:r>
    </w:p>
    <w:p>
      <w:pPr>
        <w:spacing w:line="360" w:lineRule="auto"/>
        <w:jc w:val="center"/>
        <w:rPr>
          <w:rFonts w:eastAsia="仿宋" w:cs="仿宋"/>
          <w:b/>
          <w:bCs/>
          <w:sz w:val="28"/>
          <w:szCs w:val="28"/>
        </w:rPr>
      </w:pPr>
      <w:r>
        <w:rPr>
          <w:rFonts w:hint="eastAsia" w:hAnsi="仿宋" w:eastAsia="仿宋" w:cs="仿宋"/>
          <w:b/>
          <w:bCs/>
          <w:sz w:val="28"/>
          <w:szCs w:val="28"/>
        </w:rPr>
        <w:t>目录</w:t>
      </w:r>
    </w:p>
    <w:p>
      <w:pPr>
        <w:pStyle w:val="10"/>
        <w:tabs>
          <w:tab w:val="right" w:leader="dot" w:pos="8460"/>
        </w:tabs>
        <w:rPr>
          <w:sz w:val="24"/>
          <w:szCs w:val="32"/>
        </w:rPr>
      </w:pPr>
      <w:r>
        <w:rPr>
          <w:rFonts w:eastAsia="仿宋" w:cs="仿宋"/>
          <w:sz w:val="36"/>
          <w:szCs w:val="36"/>
        </w:rPr>
        <w:fldChar w:fldCharType="begin"/>
      </w:r>
      <w:r>
        <w:rPr>
          <w:rFonts w:eastAsia="仿宋" w:cs="仿宋"/>
          <w:sz w:val="36"/>
          <w:szCs w:val="36"/>
        </w:rPr>
        <w:instrText xml:space="preserve"> TOC \o "1-3" \h \z \u </w:instrText>
      </w:r>
      <w:r>
        <w:rPr>
          <w:rFonts w:eastAsia="仿宋" w:cs="仿宋"/>
          <w:sz w:val="36"/>
          <w:szCs w:val="36"/>
        </w:rPr>
        <w:fldChar w:fldCharType="separate"/>
      </w:r>
      <w:r>
        <w:fldChar w:fldCharType="begin"/>
      </w:r>
      <w:r>
        <w:instrText xml:space="preserve"> HYPERLINK \l "_Toc12778" </w:instrText>
      </w:r>
      <w:r>
        <w:fldChar w:fldCharType="separate"/>
      </w:r>
      <w:r>
        <w:rPr>
          <w:rFonts w:hint="eastAsia" w:hAnsi="黑体" w:eastAsia="黑体"/>
          <w:sz w:val="24"/>
          <w:szCs w:val="36"/>
        </w:rPr>
        <w:t>第一章</w:t>
      </w:r>
      <w:r>
        <w:rPr>
          <w:rFonts w:hint="eastAsia" w:eastAsia="黑体"/>
          <w:sz w:val="24"/>
          <w:szCs w:val="36"/>
        </w:rPr>
        <w:t>“</w:t>
      </w:r>
      <w:r>
        <w:rPr>
          <w:rFonts w:hint="eastAsia" w:hAnsi="黑体" w:eastAsia="黑体"/>
          <w:sz w:val="24"/>
          <w:szCs w:val="36"/>
        </w:rPr>
        <w:t>十三五</w:t>
      </w:r>
      <w:r>
        <w:rPr>
          <w:rFonts w:hint="eastAsia" w:eastAsia="黑体"/>
          <w:sz w:val="24"/>
          <w:szCs w:val="36"/>
        </w:rPr>
        <w:t>”</w:t>
      </w:r>
      <w:r>
        <w:rPr>
          <w:rFonts w:hint="eastAsia" w:hAnsi="黑体" w:eastAsia="黑体"/>
          <w:sz w:val="24"/>
          <w:szCs w:val="36"/>
        </w:rPr>
        <w:t>深化改革的基础和环境</w:t>
      </w:r>
      <w:r>
        <w:rPr>
          <w:sz w:val="24"/>
          <w:szCs w:val="32"/>
        </w:rPr>
        <w:tab/>
      </w:r>
      <w:r>
        <w:rPr>
          <w:sz w:val="24"/>
          <w:szCs w:val="32"/>
        </w:rPr>
        <w:fldChar w:fldCharType="begin"/>
      </w:r>
      <w:r>
        <w:rPr>
          <w:sz w:val="24"/>
          <w:szCs w:val="32"/>
        </w:rPr>
        <w:instrText xml:space="preserve"> PAGEREF _Toc12778 </w:instrText>
      </w:r>
      <w:r>
        <w:rPr>
          <w:sz w:val="24"/>
          <w:szCs w:val="32"/>
        </w:rPr>
        <w:fldChar w:fldCharType="separate"/>
      </w:r>
      <w:r>
        <w:rPr>
          <w:sz w:val="24"/>
          <w:szCs w:val="32"/>
        </w:rPr>
        <w:t>- 1 -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"_Toc14111" </w:instrText>
      </w:r>
      <w:r>
        <w:fldChar w:fldCharType="separate"/>
      </w:r>
      <w:r>
        <w:rPr>
          <w:rFonts w:hint="eastAsia" w:hAnsi="黑体" w:eastAsia="黑体"/>
          <w:sz w:val="24"/>
          <w:szCs w:val="36"/>
        </w:rPr>
        <w:t>一、改革回顾</w:t>
      </w:r>
      <w:r>
        <w:rPr>
          <w:sz w:val="24"/>
          <w:szCs w:val="32"/>
        </w:rPr>
        <w:tab/>
      </w:r>
      <w:r>
        <w:rPr>
          <w:sz w:val="24"/>
          <w:szCs w:val="32"/>
        </w:rPr>
        <w:fldChar w:fldCharType="begin"/>
      </w:r>
      <w:r>
        <w:rPr>
          <w:sz w:val="24"/>
          <w:szCs w:val="32"/>
        </w:rPr>
        <w:instrText xml:space="preserve"> PAGEREF _Toc14111 </w:instrText>
      </w:r>
      <w:r>
        <w:rPr>
          <w:sz w:val="24"/>
          <w:szCs w:val="32"/>
        </w:rPr>
        <w:fldChar w:fldCharType="separate"/>
      </w:r>
      <w:r>
        <w:rPr>
          <w:sz w:val="24"/>
          <w:szCs w:val="32"/>
        </w:rPr>
        <w:t>- 1 -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"_Toc2736" </w:instrText>
      </w:r>
      <w:r>
        <w:fldChar w:fldCharType="separate"/>
      </w:r>
      <w:r>
        <w:rPr>
          <w:rFonts w:hint="eastAsia" w:hAnsi="黑体" w:eastAsia="黑体"/>
          <w:sz w:val="24"/>
          <w:szCs w:val="36"/>
        </w:rPr>
        <w:t>二、面临的形势</w:t>
      </w:r>
      <w:r>
        <w:rPr>
          <w:sz w:val="24"/>
          <w:szCs w:val="32"/>
        </w:rPr>
        <w:tab/>
      </w:r>
      <w:r>
        <w:rPr>
          <w:sz w:val="24"/>
          <w:szCs w:val="32"/>
        </w:rPr>
        <w:fldChar w:fldCharType="begin"/>
      </w:r>
      <w:r>
        <w:rPr>
          <w:sz w:val="24"/>
          <w:szCs w:val="32"/>
        </w:rPr>
        <w:instrText xml:space="preserve"> PAGEREF _Toc2736 </w:instrText>
      </w:r>
      <w:r>
        <w:rPr>
          <w:sz w:val="24"/>
          <w:szCs w:val="32"/>
        </w:rPr>
        <w:fldChar w:fldCharType="separate"/>
      </w:r>
      <w:r>
        <w:rPr>
          <w:sz w:val="24"/>
          <w:szCs w:val="32"/>
        </w:rPr>
        <w:t>- 2 -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"_Toc29216" </w:instrText>
      </w:r>
      <w:r>
        <w:fldChar w:fldCharType="separate"/>
      </w:r>
      <w:r>
        <w:rPr>
          <w:rFonts w:hint="eastAsia" w:hAnsi="黑体" w:eastAsia="黑体"/>
          <w:sz w:val="24"/>
          <w:szCs w:val="36"/>
        </w:rPr>
        <w:t>三、存在的问题</w:t>
      </w:r>
      <w:r>
        <w:rPr>
          <w:sz w:val="24"/>
          <w:szCs w:val="32"/>
        </w:rPr>
        <w:tab/>
      </w:r>
      <w:r>
        <w:rPr>
          <w:sz w:val="24"/>
          <w:szCs w:val="32"/>
        </w:rPr>
        <w:fldChar w:fldCharType="begin"/>
      </w:r>
      <w:r>
        <w:rPr>
          <w:sz w:val="24"/>
          <w:szCs w:val="32"/>
        </w:rPr>
        <w:instrText xml:space="preserve"> PAGEREF _Toc29216 </w:instrText>
      </w:r>
      <w:r>
        <w:rPr>
          <w:sz w:val="24"/>
          <w:szCs w:val="32"/>
        </w:rPr>
        <w:fldChar w:fldCharType="separate"/>
      </w:r>
      <w:r>
        <w:rPr>
          <w:sz w:val="24"/>
          <w:szCs w:val="32"/>
        </w:rPr>
        <w:t>- 3 -</w:t>
      </w:r>
      <w:r>
        <w:rPr>
          <w:sz w:val="24"/>
          <w:szCs w:val="32"/>
        </w:rPr>
        <w:fldChar w:fldCharType="end"/>
      </w:r>
      <w:r>
        <w:rPr>
          <w:sz w:val="24"/>
          <w:szCs w:val="32"/>
        </w:rPr>
        <w:fldChar w:fldCharType="end"/>
      </w:r>
    </w:p>
    <w:p>
      <w:pPr>
        <w:pStyle w:val="10"/>
        <w:tabs>
          <w:tab w:val="right" w:leader="dot" w:pos="8460"/>
        </w:tabs>
        <w:rPr>
          <w:sz w:val="24"/>
          <w:szCs w:val="32"/>
        </w:rPr>
      </w:pPr>
      <w:r>
        <w:fldChar w:fldCharType="begin"/>
      </w:r>
      <w:r>
        <w:instrText xml:space="preserve"> HYPERLINK \l "_Toc12888" </w:instrText>
      </w:r>
      <w:r>
        <w:fldChar w:fldCharType="separate"/>
      </w:r>
      <w:r>
        <w:rPr>
          <w:rFonts w:hint="eastAsia" w:hAnsi="黑体" w:eastAsia="黑体"/>
          <w:sz w:val="24"/>
          <w:szCs w:val="36"/>
        </w:rPr>
        <w:t>第二章指导思想、原则和目标</w:t>
      </w:r>
      <w:r>
        <w:rPr>
          <w:sz w:val="24"/>
          <w:szCs w:val="32"/>
        </w:rPr>
        <w:tab/>
      </w:r>
      <w:r>
        <w:rPr>
          <w:sz w:val="24"/>
          <w:szCs w:val="32"/>
        </w:rPr>
        <w:fldChar w:fldCharType="begin"/>
      </w:r>
      <w:r>
        <w:rPr>
          <w:sz w:val="24"/>
          <w:szCs w:val="32"/>
        </w:rPr>
        <w:instrText xml:space="preserve"> PAGEREF _Toc12888 </w:instrText>
      </w:r>
      <w:r>
        <w:rPr>
          <w:sz w:val="24"/>
          <w:szCs w:val="32"/>
        </w:rPr>
        <w:fldChar w:fldCharType="separate"/>
      </w:r>
      <w:r>
        <w:rPr>
          <w:sz w:val="24"/>
          <w:szCs w:val="32"/>
        </w:rPr>
        <w:t>- 4 -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"_Toc30534" </w:instrText>
      </w:r>
      <w:r>
        <w:fldChar w:fldCharType="separate"/>
      </w:r>
      <w:r>
        <w:rPr>
          <w:rFonts w:hint="eastAsia" w:hAnsi="黑体" w:eastAsia="黑体"/>
          <w:sz w:val="24"/>
          <w:szCs w:val="36"/>
        </w:rPr>
        <w:t>一、总体要求</w:t>
      </w:r>
      <w:r>
        <w:rPr>
          <w:sz w:val="24"/>
          <w:szCs w:val="32"/>
        </w:rPr>
        <w:tab/>
      </w:r>
      <w:r>
        <w:rPr>
          <w:sz w:val="24"/>
          <w:szCs w:val="32"/>
        </w:rPr>
        <w:fldChar w:fldCharType="begin"/>
      </w:r>
      <w:r>
        <w:rPr>
          <w:sz w:val="24"/>
          <w:szCs w:val="32"/>
        </w:rPr>
        <w:instrText xml:space="preserve"> PAGEREF _Toc30534 </w:instrText>
      </w:r>
      <w:r>
        <w:rPr>
          <w:sz w:val="24"/>
          <w:szCs w:val="32"/>
        </w:rPr>
        <w:fldChar w:fldCharType="separate"/>
      </w:r>
      <w:r>
        <w:rPr>
          <w:sz w:val="24"/>
          <w:szCs w:val="32"/>
        </w:rPr>
        <w:t>- 4 -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"_Toc7211" </w:instrText>
      </w:r>
      <w:r>
        <w:fldChar w:fldCharType="separate"/>
      </w:r>
      <w:r>
        <w:rPr>
          <w:rFonts w:hint="eastAsia" w:hAnsi="黑体" w:eastAsia="黑体"/>
          <w:sz w:val="24"/>
          <w:szCs w:val="36"/>
        </w:rPr>
        <w:t>二、基本原则</w:t>
      </w:r>
      <w:r>
        <w:rPr>
          <w:sz w:val="24"/>
          <w:szCs w:val="32"/>
        </w:rPr>
        <w:tab/>
      </w:r>
      <w:r>
        <w:rPr>
          <w:sz w:val="24"/>
          <w:szCs w:val="32"/>
        </w:rPr>
        <w:fldChar w:fldCharType="begin"/>
      </w:r>
      <w:r>
        <w:rPr>
          <w:sz w:val="24"/>
          <w:szCs w:val="32"/>
        </w:rPr>
        <w:instrText xml:space="preserve"> PAGEREF _Toc7211 </w:instrText>
      </w:r>
      <w:r>
        <w:rPr>
          <w:sz w:val="24"/>
          <w:szCs w:val="32"/>
        </w:rPr>
        <w:fldChar w:fldCharType="separate"/>
      </w:r>
      <w:r>
        <w:rPr>
          <w:sz w:val="24"/>
          <w:szCs w:val="32"/>
        </w:rPr>
        <w:t>- 5 -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"_Toc1317" </w:instrText>
      </w:r>
      <w:r>
        <w:fldChar w:fldCharType="separate"/>
      </w:r>
      <w:r>
        <w:rPr>
          <w:rFonts w:hint="eastAsia" w:hAnsi="黑体" w:eastAsia="黑体"/>
          <w:sz w:val="24"/>
          <w:szCs w:val="36"/>
        </w:rPr>
        <w:t>三、主要目标</w:t>
      </w:r>
      <w:r>
        <w:rPr>
          <w:sz w:val="24"/>
          <w:szCs w:val="32"/>
        </w:rPr>
        <w:tab/>
      </w:r>
      <w:r>
        <w:rPr>
          <w:sz w:val="24"/>
          <w:szCs w:val="32"/>
        </w:rPr>
        <w:fldChar w:fldCharType="begin"/>
      </w:r>
      <w:r>
        <w:rPr>
          <w:sz w:val="24"/>
          <w:szCs w:val="32"/>
        </w:rPr>
        <w:instrText xml:space="preserve"> PAGEREF _Toc1317 </w:instrText>
      </w:r>
      <w:r>
        <w:rPr>
          <w:sz w:val="24"/>
          <w:szCs w:val="32"/>
        </w:rPr>
        <w:fldChar w:fldCharType="separate"/>
      </w:r>
      <w:r>
        <w:rPr>
          <w:sz w:val="24"/>
          <w:szCs w:val="32"/>
        </w:rPr>
        <w:t>- 5 -</w:t>
      </w:r>
      <w:r>
        <w:rPr>
          <w:sz w:val="24"/>
          <w:szCs w:val="32"/>
        </w:rPr>
        <w:fldChar w:fldCharType="end"/>
      </w:r>
      <w:r>
        <w:rPr>
          <w:sz w:val="24"/>
          <w:szCs w:val="32"/>
        </w:rPr>
        <w:fldChar w:fldCharType="end"/>
      </w:r>
    </w:p>
    <w:p>
      <w:pPr>
        <w:pStyle w:val="10"/>
        <w:tabs>
          <w:tab w:val="right" w:leader="dot" w:pos="8460"/>
        </w:tabs>
        <w:rPr>
          <w:sz w:val="24"/>
          <w:szCs w:val="32"/>
        </w:rPr>
      </w:pPr>
      <w:r>
        <w:fldChar w:fldCharType="begin"/>
      </w:r>
      <w:r>
        <w:instrText xml:space="preserve"> HYPERLINK \l "_Toc27434" </w:instrText>
      </w:r>
      <w:r>
        <w:fldChar w:fldCharType="separate"/>
      </w:r>
      <w:r>
        <w:rPr>
          <w:rFonts w:hint="eastAsia" w:hAnsi="黑体" w:eastAsia="黑体"/>
          <w:sz w:val="24"/>
          <w:szCs w:val="36"/>
        </w:rPr>
        <w:t>第三章重点任务</w:t>
      </w:r>
      <w:r>
        <w:rPr>
          <w:sz w:val="24"/>
          <w:szCs w:val="32"/>
        </w:rPr>
        <w:tab/>
      </w:r>
      <w:r>
        <w:rPr>
          <w:sz w:val="24"/>
          <w:szCs w:val="32"/>
        </w:rPr>
        <w:fldChar w:fldCharType="begin"/>
      </w:r>
      <w:r>
        <w:rPr>
          <w:sz w:val="24"/>
          <w:szCs w:val="32"/>
        </w:rPr>
        <w:instrText xml:space="preserve"> PAGEREF _Toc27434 </w:instrText>
      </w:r>
      <w:r>
        <w:rPr>
          <w:sz w:val="24"/>
          <w:szCs w:val="32"/>
        </w:rPr>
        <w:fldChar w:fldCharType="separate"/>
      </w:r>
      <w:r>
        <w:rPr>
          <w:sz w:val="24"/>
          <w:szCs w:val="32"/>
        </w:rPr>
        <w:t>- 6 -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"_Toc7789" </w:instrText>
      </w:r>
      <w:r>
        <w:fldChar w:fldCharType="separate"/>
      </w:r>
      <w:r>
        <w:rPr>
          <w:rFonts w:hint="eastAsia" w:hAnsi="黑体" w:eastAsia="黑体"/>
          <w:sz w:val="24"/>
          <w:szCs w:val="36"/>
        </w:rPr>
        <w:t>一、加快转变政府职能，建立服务型政府</w:t>
      </w:r>
      <w:r>
        <w:rPr>
          <w:sz w:val="24"/>
          <w:szCs w:val="32"/>
        </w:rPr>
        <w:tab/>
      </w:r>
      <w:r>
        <w:rPr>
          <w:sz w:val="24"/>
          <w:szCs w:val="32"/>
        </w:rPr>
        <w:fldChar w:fldCharType="begin"/>
      </w:r>
      <w:r>
        <w:rPr>
          <w:sz w:val="24"/>
          <w:szCs w:val="32"/>
        </w:rPr>
        <w:instrText xml:space="preserve"> PAGEREF _Toc7789 </w:instrText>
      </w:r>
      <w:r>
        <w:rPr>
          <w:sz w:val="24"/>
          <w:szCs w:val="32"/>
        </w:rPr>
        <w:fldChar w:fldCharType="separate"/>
      </w:r>
      <w:r>
        <w:rPr>
          <w:sz w:val="24"/>
          <w:szCs w:val="32"/>
        </w:rPr>
        <w:t>- 6 -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"_Toc15389" </w:instrText>
      </w:r>
      <w:r>
        <w:fldChar w:fldCharType="separate"/>
      </w:r>
      <w:r>
        <w:rPr>
          <w:rFonts w:hint="eastAsia"/>
          <w:sz w:val="24"/>
          <w:szCs w:val="36"/>
        </w:rPr>
        <w:t>（一）健全宏观经济管理决策机制</w:t>
      </w:r>
      <w:r>
        <w:rPr>
          <w:sz w:val="24"/>
          <w:szCs w:val="32"/>
        </w:rPr>
        <w:tab/>
      </w:r>
      <w:r>
        <w:rPr>
          <w:sz w:val="24"/>
          <w:szCs w:val="32"/>
        </w:rPr>
        <w:fldChar w:fldCharType="begin"/>
      </w:r>
      <w:r>
        <w:rPr>
          <w:sz w:val="24"/>
          <w:szCs w:val="32"/>
        </w:rPr>
        <w:instrText xml:space="preserve"> PAGEREF _Toc15389 </w:instrText>
      </w:r>
      <w:r>
        <w:rPr>
          <w:sz w:val="24"/>
          <w:szCs w:val="32"/>
        </w:rPr>
        <w:fldChar w:fldCharType="separate"/>
      </w:r>
      <w:r>
        <w:rPr>
          <w:sz w:val="24"/>
          <w:szCs w:val="32"/>
        </w:rPr>
        <w:t>- 6 -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"_Toc18009" </w:instrText>
      </w:r>
      <w:r>
        <w:fldChar w:fldCharType="separate"/>
      </w:r>
      <w:r>
        <w:rPr>
          <w:rFonts w:hint="eastAsia"/>
          <w:sz w:val="24"/>
          <w:szCs w:val="36"/>
        </w:rPr>
        <w:t>（二）深化行政审批制度改革</w:t>
      </w:r>
      <w:r>
        <w:rPr>
          <w:sz w:val="24"/>
          <w:szCs w:val="32"/>
        </w:rPr>
        <w:tab/>
      </w:r>
      <w:r>
        <w:rPr>
          <w:sz w:val="24"/>
          <w:szCs w:val="32"/>
        </w:rPr>
        <w:fldChar w:fldCharType="begin"/>
      </w:r>
      <w:r>
        <w:rPr>
          <w:sz w:val="24"/>
          <w:szCs w:val="32"/>
        </w:rPr>
        <w:instrText xml:space="preserve"> PAGEREF _Toc18009 </w:instrText>
      </w:r>
      <w:r>
        <w:rPr>
          <w:sz w:val="24"/>
          <w:szCs w:val="32"/>
        </w:rPr>
        <w:fldChar w:fldCharType="separate"/>
      </w:r>
      <w:r>
        <w:rPr>
          <w:sz w:val="24"/>
          <w:szCs w:val="32"/>
        </w:rPr>
        <w:t>- 6 -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"_Toc8369" </w:instrText>
      </w:r>
      <w:r>
        <w:fldChar w:fldCharType="separate"/>
      </w:r>
      <w:r>
        <w:rPr>
          <w:rFonts w:hint="eastAsia"/>
          <w:sz w:val="24"/>
          <w:szCs w:val="36"/>
        </w:rPr>
        <w:t>（三）深化财税体制改革</w:t>
      </w:r>
      <w:r>
        <w:rPr>
          <w:sz w:val="24"/>
          <w:szCs w:val="32"/>
        </w:rPr>
        <w:tab/>
      </w:r>
      <w:r>
        <w:rPr>
          <w:sz w:val="24"/>
          <w:szCs w:val="32"/>
        </w:rPr>
        <w:fldChar w:fldCharType="begin"/>
      </w:r>
      <w:r>
        <w:rPr>
          <w:sz w:val="24"/>
          <w:szCs w:val="32"/>
        </w:rPr>
        <w:instrText xml:space="preserve"> PAGEREF _Toc8369 </w:instrText>
      </w:r>
      <w:r>
        <w:rPr>
          <w:sz w:val="24"/>
          <w:szCs w:val="32"/>
        </w:rPr>
        <w:fldChar w:fldCharType="separate"/>
      </w:r>
      <w:r>
        <w:rPr>
          <w:sz w:val="24"/>
          <w:szCs w:val="32"/>
        </w:rPr>
        <w:t>- 7 -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"_Toc32180" </w:instrText>
      </w:r>
      <w:r>
        <w:fldChar w:fldCharType="separate"/>
      </w:r>
      <w:r>
        <w:rPr>
          <w:rFonts w:hint="eastAsia"/>
          <w:sz w:val="24"/>
          <w:szCs w:val="36"/>
        </w:rPr>
        <w:t>（四）完善政府服务实体经济的机制</w:t>
      </w:r>
      <w:r>
        <w:rPr>
          <w:sz w:val="24"/>
          <w:szCs w:val="32"/>
        </w:rPr>
        <w:tab/>
      </w:r>
      <w:r>
        <w:rPr>
          <w:sz w:val="24"/>
          <w:szCs w:val="32"/>
        </w:rPr>
        <w:fldChar w:fldCharType="begin"/>
      </w:r>
      <w:r>
        <w:rPr>
          <w:sz w:val="24"/>
          <w:szCs w:val="32"/>
        </w:rPr>
        <w:instrText xml:space="preserve"> PAGEREF _Toc32180 </w:instrText>
      </w:r>
      <w:r>
        <w:rPr>
          <w:sz w:val="24"/>
          <w:szCs w:val="32"/>
        </w:rPr>
        <w:fldChar w:fldCharType="separate"/>
      </w:r>
      <w:r>
        <w:rPr>
          <w:sz w:val="24"/>
          <w:szCs w:val="32"/>
        </w:rPr>
        <w:t>- 9 -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"_Toc23801" </w:instrText>
      </w:r>
      <w:r>
        <w:fldChar w:fldCharType="separate"/>
      </w:r>
      <w:r>
        <w:rPr>
          <w:rFonts w:hint="eastAsia" w:hAnsi="黑体" w:eastAsia="黑体"/>
          <w:sz w:val="24"/>
          <w:szCs w:val="36"/>
        </w:rPr>
        <w:t>二、发挥市场决定性作用，激发各要素的活力</w:t>
      </w:r>
      <w:r>
        <w:rPr>
          <w:sz w:val="24"/>
          <w:szCs w:val="32"/>
        </w:rPr>
        <w:tab/>
      </w:r>
      <w:r>
        <w:rPr>
          <w:sz w:val="24"/>
          <w:szCs w:val="32"/>
        </w:rPr>
        <w:fldChar w:fldCharType="begin"/>
      </w:r>
      <w:r>
        <w:rPr>
          <w:sz w:val="24"/>
          <w:szCs w:val="32"/>
        </w:rPr>
        <w:instrText xml:space="preserve"> PAGEREF _Toc23801 </w:instrText>
      </w:r>
      <w:r>
        <w:rPr>
          <w:sz w:val="24"/>
          <w:szCs w:val="32"/>
        </w:rPr>
        <w:fldChar w:fldCharType="separate"/>
      </w:r>
      <w:r>
        <w:rPr>
          <w:sz w:val="24"/>
          <w:szCs w:val="32"/>
        </w:rPr>
        <w:t>- 9 -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"_Toc27892" </w:instrText>
      </w:r>
      <w:r>
        <w:fldChar w:fldCharType="separate"/>
      </w:r>
      <w:r>
        <w:rPr>
          <w:rFonts w:hint="eastAsia"/>
          <w:sz w:val="24"/>
          <w:szCs w:val="36"/>
        </w:rPr>
        <w:t>（一）进行市场运行机制改革</w:t>
      </w:r>
      <w:r>
        <w:rPr>
          <w:sz w:val="24"/>
          <w:szCs w:val="32"/>
        </w:rPr>
        <w:tab/>
      </w:r>
      <w:r>
        <w:rPr>
          <w:sz w:val="24"/>
          <w:szCs w:val="32"/>
        </w:rPr>
        <w:fldChar w:fldCharType="begin"/>
      </w:r>
      <w:r>
        <w:rPr>
          <w:sz w:val="24"/>
          <w:szCs w:val="32"/>
        </w:rPr>
        <w:instrText xml:space="preserve"> PAGEREF _Toc27892 </w:instrText>
      </w:r>
      <w:r>
        <w:rPr>
          <w:sz w:val="24"/>
          <w:szCs w:val="32"/>
        </w:rPr>
        <w:fldChar w:fldCharType="separate"/>
      </w:r>
      <w:r>
        <w:rPr>
          <w:sz w:val="24"/>
          <w:szCs w:val="32"/>
        </w:rPr>
        <w:t>- 9 -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"_Toc16786" </w:instrText>
      </w:r>
      <w:r>
        <w:fldChar w:fldCharType="separate"/>
      </w:r>
      <w:r>
        <w:rPr>
          <w:rFonts w:hint="eastAsia"/>
          <w:sz w:val="24"/>
          <w:szCs w:val="36"/>
        </w:rPr>
        <w:t>（二）深化土地制度改革</w:t>
      </w:r>
      <w:r>
        <w:rPr>
          <w:sz w:val="24"/>
          <w:szCs w:val="32"/>
        </w:rPr>
        <w:tab/>
      </w:r>
      <w:r>
        <w:rPr>
          <w:sz w:val="24"/>
          <w:szCs w:val="32"/>
        </w:rPr>
        <w:fldChar w:fldCharType="begin"/>
      </w:r>
      <w:r>
        <w:rPr>
          <w:sz w:val="24"/>
          <w:szCs w:val="32"/>
        </w:rPr>
        <w:instrText xml:space="preserve"> PAGEREF _Toc16786 </w:instrText>
      </w:r>
      <w:r>
        <w:rPr>
          <w:sz w:val="24"/>
          <w:szCs w:val="32"/>
        </w:rPr>
        <w:fldChar w:fldCharType="separate"/>
      </w:r>
      <w:r>
        <w:rPr>
          <w:sz w:val="24"/>
          <w:szCs w:val="32"/>
        </w:rPr>
        <w:t>- 11 -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"_Toc19514" </w:instrText>
      </w:r>
      <w:r>
        <w:fldChar w:fldCharType="separate"/>
      </w:r>
      <w:r>
        <w:rPr>
          <w:rFonts w:hint="eastAsia"/>
          <w:sz w:val="24"/>
          <w:szCs w:val="36"/>
        </w:rPr>
        <w:t>（三）深化国资国企改革</w:t>
      </w:r>
      <w:r>
        <w:rPr>
          <w:sz w:val="24"/>
          <w:szCs w:val="32"/>
        </w:rPr>
        <w:tab/>
      </w:r>
      <w:r>
        <w:rPr>
          <w:sz w:val="24"/>
          <w:szCs w:val="32"/>
        </w:rPr>
        <w:fldChar w:fldCharType="begin"/>
      </w:r>
      <w:r>
        <w:rPr>
          <w:sz w:val="24"/>
          <w:szCs w:val="32"/>
        </w:rPr>
        <w:instrText xml:space="preserve"> PAGEREF _Toc19514 </w:instrText>
      </w:r>
      <w:r>
        <w:rPr>
          <w:sz w:val="24"/>
          <w:szCs w:val="32"/>
        </w:rPr>
        <w:fldChar w:fldCharType="separate"/>
      </w:r>
      <w:r>
        <w:rPr>
          <w:sz w:val="24"/>
          <w:szCs w:val="32"/>
        </w:rPr>
        <w:t>- 12 -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"_Toc4144" </w:instrText>
      </w:r>
      <w:r>
        <w:fldChar w:fldCharType="separate"/>
      </w:r>
      <w:r>
        <w:rPr>
          <w:rFonts w:hint="eastAsia"/>
          <w:sz w:val="24"/>
          <w:szCs w:val="36"/>
        </w:rPr>
        <w:t>（四）深化投融资体制改革</w:t>
      </w:r>
      <w:r>
        <w:rPr>
          <w:sz w:val="24"/>
          <w:szCs w:val="32"/>
        </w:rPr>
        <w:tab/>
      </w:r>
      <w:r>
        <w:rPr>
          <w:sz w:val="24"/>
          <w:szCs w:val="32"/>
        </w:rPr>
        <w:fldChar w:fldCharType="begin"/>
      </w:r>
      <w:r>
        <w:rPr>
          <w:sz w:val="24"/>
          <w:szCs w:val="32"/>
        </w:rPr>
        <w:instrText xml:space="preserve"> PAGEREF _Toc4144 </w:instrText>
      </w:r>
      <w:r>
        <w:rPr>
          <w:sz w:val="24"/>
          <w:szCs w:val="32"/>
        </w:rPr>
        <w:fldChar w:fldCharType="separate"/>
      </w:r>
      <w:r>
        <w:rPr>
          <w:sz w:val="24"/>
          <w:szCs w:val="32"/>
        </w:rPr>
        <w:t>- 13 -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"_Toc24626" </w:instrText>
      </w:r>
      <w:r>
        <w:fldChar w:fldCharType="separate"/>
      </w:r>
      <w:r>
        <w:rPr>
          <w:rFonts w:hint="eastAsia"/>
          <w:sz w:val="24"/>
          <w:szCs w:val="36"/>
        </w:rPr>
        <w:t>（五）完善实体经济发展体制机制</w:t>
      </w:r>
      <w:r>
        <w:rPr>
          <w:sz w:val="24"/>
          <w:szCs w:val="32"/>
        </w:rPr>
        <w:tab/>
      </w:r>
      <w:r>
        <w:rPr>
          <w:sz w:val="24"/>
          <w:szCs w:val="32"/>
        </w:rPr>
        <w:fldChar w:fldCharType="begin"/>
      </w:r>
      <w:r>
        <w:rPr>
          <w:sz w:val="24"/>
          <w:szCs w:val="32"/>
        </w:rPr>
        <w:instrText xml:space="preserve"> PAGEREF _Toc24626 </w:instrText>
      </w:r>
      <w:r>
        <w:rPr>
          <w:sz w:val="24"/>
          <w:szCs w:val="32"/>
        </w:rPr>
        <w:fldChar w:fldCharType="separate"/>
      </w:r>
      <w:r>
        <w:rPr>
          <w:sz w:val="24"/>
          <w:szCs w:val="32"/>
        </w:rPr>
        <w:t>- 15 -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"_Toc1387" </w:instrText>
      </w:r>
      <w:r>
        <w:fldChar w:fldCharType="separate"/>
      </w:r>
      <w:r>
        <w:rPr>
          <w:rFonts w:hint="eastAsia"/>
          <w:sz w:val="24"/>
          <w:szCs w:val="36"/>
        </w:rPr>
        <w:t>（六）健全桂林特色产业体系培育发展机制</w:t>
      </w:r>
      <w:r>
        <w:rPr>
          <w:sz w:val="24"/>
          <w:szCs w:val="32"/>
        </w:rPr>
        <w:tab/>
      </w:r>
      <w:r>
        <w:rPr>
          <w:sz w:val="24"/>
          <w:szCs w:val="32"/>
        </w:rPr>
        <w:fldChar w:fldCharType="begin"/>
      </w:r>
      <w:r>
        <w:rPr>
          <w:sz w:val="24"/>
          <w:szCs w:val="32"/>
        </w:rPr>
        <w:instrText xml:space="preserve"> PAGEREF _Toc1387 </w:instrText>
      </w:r>
      <w:r>
        <w:rPr>
          <w:sz w:val="24"/>
          <w:szCs w:val="32"/>
        </w:rPr>
        <w:fldChar w:fldCharType="separate"/>
      </w:r>
      <w:r>
        <w:rPr>
          <w:sz w:val="24"/>
          <w:szCs w:val="32"/>
        </w:rPr>
        <w:t>- 16 -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"_Toc23346" </w:instrText>
      </w:r>
      <w:r>
        <w:fldChar w:fldCharType="separate"/>
      </w:r>
      <w:r>
        <w:rPr>
          <w:rFonts w:hint="eastAsia"/>
          <w:sz w:val="24"/>
          <w:szCs w:val="36"/>
        </w:rPr>
        <w:t>（七）完善开放合作体制机制</w:t>
      </w:r>
      <w:r>
        <w:rPr>
          <w:sz w:val="24"/>
          <w:szCs w:val="32"/>
        </w:rPr>
        <w:tab/>
      </w:r>
      <w:r>
        <w:rPr>
          <w:sz w:val="24"/>
          <w:szCs w:val="32"/>
        </w:rPr>
        <w:fldChar w:fldCharType="begin"/>
      </w:r>
      <w:r>
        <w:rPr>
          <w:sz w:val="24"/>
          <w:szCs w:val="32"/>
        </w:rPr>
        <w:instrText xml:space="preserve"> PAGEREF _Toc23346 </w:instrText>
      </w:r>
      <w:r>
        <w:rPr>
          <w:sz w:val="24"/>
          <w:szCs w:val="32"/>
        </w:rPr>
        <w:fldChar w:fldCharType="separate"/>
      </w:r>
      <w:r>
        <w:rPr>
          <w:sz w:val="24"/>
          <w:szCs w:val="32"/>
        </w:rPr>
        <w:t>- 17 -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"_Toc14839" </w:instrText>
      </w:r>
      <w:r>
        <w:fldChar w:fldCharType="separate"/>
      </w:r>
      <w:r>
        <w:rPr>
          <w:rFonts w:hint="eastAsia" w:eastAsia="黑体"/>
          <w:sz w:val="24"/>
          <w:szCs w:val="36"/>
        </w:rPr>
        <w:t>三、推进供给侧结构性改革，提升经济质量和效率</w:t>
      </w:r>
      <w:r>
        <w:rPr>
          <w:sz w:val="24"/>
          <w:szCs w:val="32"/>
        </w:rPr>
        <w:tab/>
      </w:r>
      <w:r>
        <w:rPr>
          <w:sz w:val="24"/>
          <w:szCs w:val="32"/>
        </w:rPr>
        <w:fldChar w:fldCharType="begin"/>
      </w:r>
      <w:r>
        <w:rPr>
          <w:sz w:val="24"/>
          <w:szCs w:val="32"/>
        </w:rPr>
        <w:instrText xml:space="preserve"> PAGEREF _Toc14839 </w:instrText>
      </w:r>
      <w:r>
        <w:rPr>
          <w:sz w:val="24"/>
          <w:szCs w:val="32"/>
        </w:rPr>
        <w:fldChar w:fldCharType="separate"/>
      </w:r>
      <w:r>
        <w:rPr>
          <w:sz w:val="24"/>
          <w:szCs w:val="32"/>
        </w:rPr>
        <w:t>- 17 -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"_Toc11269" </w:instrText>
      </w:r>
      <w:r>
        <w:fldChar w:fldCharType="separate"/>
      </w:r>
      <w:r>
        <w:rPr>
          <w:rFonts w:hint="eastAsia"/>
          <w:sz w:val="24"/>
          <w:szCs w:val="36"/>
        </w:rPr>
        <w:t>（一）落实各项供给侧结构性改革的措施</w:t>
      </w:r>
      <w:r>
        <w:rPr>
          <w:sz w:val="24"/>
          <w:szCs w:val="32"/>
        </w:rPr>
        <w:tab/>
      </w:r>
      <w:r>
        <w:rPr>
          <w:sz w:val="24"/>
          <w:szCs w:val="32"/>
        </w:rPr>
        <w:fldChar w:fldCharType="begin"/>
      </w:r>
      <w:r>
        <w:rPr>
          <w:sz w:val="24"/>
          <w:szCs w:val="32"/>
        </w:rPr>
        <w:instrText xml:space="preserve"> PAGEREF _Toc11269 </w:instrText>
      </w:r>
      <w:r>
        <w:rPr>
          <w:sz w:val="24"/>
          <w:szCs w:val="32"/>
        </w:rPr>
        <w:fldChar w:fldCharType="separate"/>
      </w:r>
      <w:r>
        <w:rPr>
          <w:sz w:val="24"/>
          <w:szCs w:val="32"/>
        </w:rPr>
        <w:t>- 17 -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"_Toc24249" </w:instrText>
      </w:r>
      <w:r>
        <w:fldChar w:fldCharType="separate"/>
      </w:r>
      <w:r>
        <w:rPr>
          <w:rFonts w:hint="eastAsia"/>
          <w:sz w:val="24"/>
          <w:szCs w:val="36"/>
        </w:rPr>
        <w:t>（二）深化科技体制改革</w:t>
      </w:r>
      <w:r>
        <w:rPr>
          <w:sz w:val="24"/>
          <w:szCs w:val="32"/>
        </w:rPr>
        <w:tab/>
      </w:r>
      <w:r>
        <w:rPr>
          <w:sz w:val="24"/>
          <w:szCs w:val="32"/>
        </w:rPr>
        <w:fldChar w:fldCharType="begin"/>
      </w:r>
      <w:r>
        <w:rPr>
          <w:sz w:val="24"/>
          <w:szCs w:val="32"/>
        </w:rPr>
        <w:instrText xml:space="preserve"> PAGEREF _Toc24249 </w:instrText>
      </w:r>
      <w:r>
        <w:rPr>
          <w:sz w:val="24"/>
          <w:szCs w:val="32"/>
        </w:rPr>
        <w:fldChar w:fldCharType="separate"/>
      </w:r>
      <w:r>
        <w:rPr>
          <w:sz w:val="24"/>
          <w:szCs w:val="32"/>
        </w:rPr>
        <w:t>- 18 -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"_Toc20538" </w:instrText>
      </w:r>
      <w:r>
        <w:fldChar w:fldCharType="separate"/>
      </w:r>
      <w:r>
        <w:rPr>
          <w:rFonts w:hint="eastAsia"/>
          <w:sz w:val="24"/>
          <w:szCs w:val="36"/>
        </w:rPr>
        <w:t>（三）推进创新创业体制改革</w:t>
      </w:r>
      <w:r>
        <w:rPr>
          <w:sz w:val="24"/>
          <w:szCs w:val="32"/>
        </w:rPr>
        <w:tab/>
      </w:r>
      <w:r>
        <w:rPr>
          <w:sz w:val="24"/>
          <w:szCs w:val="32"/>
        </w:rPr>
        <w:fldChar w:fldCharType="begin"/>
      </w:r>
      <w:r>
        <w:rPr>
          <w:sz w:val="24"/>
          <w:szCs w:val="32"/>
        </w:rPr>
        <w:instrText xml:space="preserve"> PAGEREF _Toc20538 </w:instrText>
      </w:r>
      <w:r>
        <w:rPr>
          <w:sz w:val="24"/>
          <w:szCs w:val="32"/>
        </w:rPr>
        <w:fldChar w:fldCharType="separate"/>
      </w:r>
      <w:r>
        <w:rPr>
          <w:sz w:val="24"/>
          <w:szCs w:val="32"/>
        </w:rPr>
        <w:t>- 19 -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"_Toc12876" </w:instrText>
      </w:r>
      <w:r>
        <w:fldChar w:fldCharType="separate"/>
      </w:r>
      <w:r>
        <w:rPr>
          <w:rFonts w:hint="eastAsia"/>
          <w:sz w:val="24"/>
          <w:szCs w:val="36"/>
        </w:rPr>
        <w:t>（四）创新人才优先发展战略机制</w:t>
      </w:r>
      <w:r>
        <w:rPr>
          <w:sz w:val="24"/>
          <w:szCs w:val="32"/>
        </w:rPr>
        <w:tab/>
      </w:r>
      <w:r>
        <w:rPr>
          <w:sz w:val="24"/>
          <w:szCs w:val="32"/>
        </w:rPr>
        <w:fldChar w:fldCharType="begin"/>
      </w:r>
      <w:r>
        <w:rPr>
          <w:sz w:val="24"/>
          <w:szCs w:val="32"/>
        </w:rPr>
        <w:instrText xml:space="preserve"> PAGEREF _Toc12876 </w:instrText>
      </w:r>
      <w:r>
        <w:rPr>
          <w:sz w:val="24"/>
          <w:szCs w:val="32"/>
        </w:rPr>
        <w:fldChar w:fldCharType="separate"/>
      </w:r>
      <w:r>
        <w:rPr>
          <w:sz w:val="24"/>
          <w:szCs w:val="32"/>
        </w:rPr>
        <w:t>- 20 -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"_Toc11782" </w:instrText>
      </w:r>
      <w:r>
        <w:fldChar w:fldCharType="separate"/>
      </w:r>
      <w:r>
        <w:rPr>
          <w:rFonts w:hint="eastAsia" w:eastAsia="黑体"/>
          <w:sz w:val="24"/>
          <w:szCs w:val="36"/>
        </w:rPr>
        <w:t>四、创新国际旅游胜地建设体制机制，推进桂林特色发展</w:t>
      </w:r>
      <w:r>
        <w:rPr>
          <w:sz w:val="24"/>
          <w:szCs w:val="32"/>
        </w:rPr>
        <w:tab/>
      </w:r>
      <w:r>
        <w:rPr>
          <w:sz w:val="24"/>
          <w:szCs w:val="32"/>
        </w:rPr>
        <w:fldChar w:fldCharType="begin"/>
      </w:r>
      <w:r>
        <w:rPr>
          <w:sz w:val="24"/>
          <w:szCs w:val="32"/>
        </w:rPr>
        <w:instrText xml:space="preserve"> PAGEREF _Toc11782 </w:instrText>
      </w:r>
      <w:r>
        <w:rPr>
          <w:sz w:val="24"/>
          <w:szCs w:val="32"/>
        </w:rPr>
        <w:fldChar w:fldCharType="separate"/>
      </w:r>
      <w:r>
        <w:rPr>
          <w:sz w:val="24"/>
          <w:szCs w:val="32"/>
        </w:rPr>
        <w:t>- 21 -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"_Toc17401" </w:instrText>
      </w:r>
      <w:r>
        <w:fldChar w:fldCharType="separate"/>
      </w:r>
      <w:r>
        <w:rPr>
          <w:sz w:val="24"/>
          <w:szCs w:val="36"/>
        </w:rPr>
        <w:t>(</w:t>
      </w:r>
      <w:r>
        <w:rPr>
          <w:rFonts w:hint="eastAsia"/>
          <w:sz w:val="24"/>
          <w:szCs w:val="36"/>
        </w:rPr>
        <w:t>一</w:t>
      </w:r>
      <w:r>
        <w:rPr>
          <w:sz w:val="24"/>
          <w:szCs w:val="36"/>
        </w:rPr>
        <w:t>)</w:t>
      </w:r>
      <w:r>
        <w:rPr>
          <w:rFonts w:hint="eastAsia"/>
          <w:sz w:val="24"/>
          <w:szCs w:val="36"/>
        </w:rPr>
        <w:t>完善旅游管理体制机制</w:t>
      </w:r>
      <w:r>
        <w:rPr>
          <w:sz w:val="24"/>
          <w:szCs w:val="32"/>
        </w:rPr>
        <w:tab/>
      </w:r>
      <w:r>
        <w:rPr>
          <w:sz w:val="24"/>
          <w:szCs w:val="32"/>
        </w:rPr>
        <w:fldChar w:fldCharType="begin"/>
      </w:r>
      <w:r>
        <w:rPr>
          <w:sz w:val="24"/>
          <w:szCs w:val="32"/>
        </w:rPr>
        <w:instrText xml:space="preserve"> PAGEREF _Toc17401 </w:instrText>
      </w:r>
      <w:r>
        <w:rPr>
          <w:sz w:val="24"/>
          <w:szCs w:val="32"/>
        </w:rPr>
        <w:fldChar w:fldCharType="separate"/>
      </w:r>
      <w:r>
        <w:rPr>
          <w:sz w:val="24"/>
          <w:szCs w:val="32"/>
        </w:rPr>
        <w:t>- 21 -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"_Toc23017" </w:instrText>
      </w:r>
      <w:r>
        <w:fldChar w:fldCharType="separate"/>
      </w:r>
      <w:r>
        <w:rPr>
          <w:rFonts w:hint="eastAsia"/>
          <w:sz w:val="24"/>
          <w:szCs w:val="36"/>
        </w:rPr>
        <w:t>（二）改革旅游经营机制</w:t>
      </w:r>
      <w:r>
        <w:rPr>
          <w:sz w:val="24"/>
          <w:szCs w:val="32"/>
        </w:rPr>
        <w:tab/>
      </w:r>
      <w:r>
        <w:rPr>
          <w:sz w:val="24"/>
          <w:szCs w:val="32"/>
        </w:rPr>
        <w:fldChar w:fldCharType="begin"/>
      </w:r>
      <w:r>
        <w:rPr>
          <w:sz w:val="24"/>
          <w:szCs w:val="32"/>
        </w:rPr>
        <w:instrText xml:space="preserve"> PAGEREF _Toc23017 </w:instrText>
      </w:r>
      <w:r>
        <w:rPr>
          <w:sz w:val="24"/>
          <w:szCs w:val="32"/>
        </w:rPr>
        <w:fldChar w:fldCharType="separate"/>
      </w:r>
      <w:r>
        <w:rPr>
          <w:sz w:val="24"/>
          <w:szCs w:val="32"/>
        </w:rPr>
        <w:t>- 22 -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"_Toc30515" </w:instrText>
      </w:r>
      <w:r>
        <w:fldChar w:fldCharType="separate"/>
      </w:r>
      <w:r>
        <w:rPr>
          <w:rFonts w:hint="eastAsia"/>
          <w:sz w:val="24"/>
          <w:szCs w:val="36"/>
        </w:rPr>
        <w:t>（三）改革漓江管理体制</w:t>
      </w:r>
      <w:r>
        <w:rPr>
          <w:sz w:val="24"/>
          <w:szCs w:val="32"/>
        </w:rPr>
        <w:tab/>
      </w:r>
      <w:r>
        <w:rPr>
          <w:sz w:val="24"/>
          <w:szCs w:val="32"/>
        </w:rPr>
        <w:fldChar w:fldCharType="begin"/>
      </w:r>
      <w:r>
        <w:rPr>
          <w:sz w:val="24"/>
          <w:szCs w:val="32"/>
        </w:rPr>
        <w:instrText xml:space="preserve"> PAGEREF _Toc30515 </w:instrText>
      </w:r>
      <w:r>
        <w:rPr>
          <w:sz w:val="24"/>
          <w:szCs w:val="32"/>
        </w:rPr>
        <w:fldChar w:fldCharType="separate"/>
      </w:r>
      <w:r>
        <w:rPr>
          <w:sz w:val="24"/>
          <w:szCs w:val="32"/>
        </w:rPr>
        <w:t>- 23 -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"_Toc3762" </w:instrText>
      </w:r>
      <w:r>
        <w:fldChar w:fldCharType="separate"/>
      </w:r>
      <w:r>
        <w:rPr>
          <w:rFonts w:hint="eastAsia"/>
          <w:sz w:val="24"/>
          <w:szCs w:val="36"/>
        </w:rPr>
        <w:t>（四）推动服务业综合改革</w:t>
      </w:r>
      <w:r>
        <w:rPr>
          <w:sz w:val="24"/>
          <w:szCs w:val="32"/>
        </w:rPr>
        <w:tab/>
      </w:r>
      <w:r>
        <w:rPr>
          <w:sz w:val="24"/>
          <w:szCs w:val="32"/>
        </w:rPr>
        <w:fldChar w:fldCharType="begin"/>
      </w:r>
      <w:r>
        <w:rPr>
          <w:sz w:val="24"/>
          <w:szCs w:val="32"/>
        </w:rPr>
        <w:instrText xml:space="preserve"> PAGEREF _Toc3762 </w:instrText>
      </w:r>
      <w:r>
        <w:rPr>
          <w:sz w:val="24"/>
          <w:szCs w:val="32"/>
        </w:rPr>
        <w:fldChar w:fldCharType="separate"/>
      </w:r>
      <w:r>
        <w:rPr>
          <w:sz w:val="24"/>
          <w:szCs w:val="32"/>
        </w:rPr>
        <w:t>- 24 -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"_Toc5133" </w:instrText>
      </w:r>
      <w:r>
        <w:fldChar w:fldCharType="separate"/>
      </w:r>
      <w:r>
        <w:rPr>
          <w:rFonts w:hint="eastAsia" w:eastAsia="黑体"/>
          <w:sz w:val="24"/>
          <w:szCs w:val="36"/>
        </w:rPr>
        <w:t>五、深化农村体制改革，推进现代农业发展</w:t>
      </w:r>
      <w:r>
        <w:rPr>
          <w:sz w:val="24"/>
          <w:szCs w:val="32"/>
        </w:rPr>
        <w:tab/>
      </w:r>
      <w:r>
        <w:rPr>
          <w:sz w:val="24"/>
          <w:szCs w:val="32"/>
        </w:rPr>
        <w:fldChar w:fldCharType="begin"/>
      </w:r>
      <w:r>
        <w:rPr>
          <w:sz w:val="24"/>
          <w:szCs w:val="32"/>
        </w:rPr>
        <w:instrText xml:space="preserve"> PAGEREF _Toc5133 </w:instrText>
      </w:r>
      <w:r>
        <w:rPr>
          <w:sz w:val="24"/>
          <w:szCs w:val="32"/>
        </w:rPr>
        <w:fldChar w:fldCharType="separate"/>
      </w:r>
      <w:r>
        <w:rPr>
          <w:sz w:val="24"/>
          <w:szCs w:val="32"/>
        </w:rPr>
        <w:t>- 25 -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"_Toc4775" </w:instrText>
      </w:r>
      <w:r>
        <w:fldChar w:fldCharType="separate"/>
      </w:r>
      <w:r>
        <w:rPr>
          <w:rFonts w:hint="eastAsia"/>
          <w:sz w:val="24"/>
          <w:szCs w:val="36"/>
        </w:rPr>
        <w:t>（一）推进农村集体产权制度改革</w:t>
      </w:r>
      <w:r>
        <w:rPr>
          <w:sz w:val="24"/>
          <w:szCs w:val="32"/>
        </w:rPr>
        <w:tab/>
      </w:r>
      <w:r>
        <w:rPr>
          <w:sz w:val="24"/>
          <w:szCs w:val="32"/>
        </w:rPr>
        <w:fldChar w:fldCharType="begin"/>
      </w:r>
      <w:r>
        <w:rPr>
          <w:sz w:val="24"/>
          <w:szCs w:val="32"/>
        </w:rPr>
        <w:instrText xml:space="preserve"> PAGEREF _Toc4775 </w:instrText>
      </w:r>
      <w:r>
        <w:rPr>
          <w:sz w:val="24"/>
          <w:szCs w:val="32"/>
        </w:rPr>
        <w:fldChar w:fldCharType="separate"/>
      </w:r>
      <w:r>
        <w:rPr>
          <w:sz w:val="24"/>
          <w:szCs w:val="32"/>
        </w:rPr>
        <w:t>- 25 -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"_Toc21574" </w:instrText>
      </w:r>
      <w:r>
        <w:fldChar w:fldCharType="separate"/>
      </w:r>
      <w:r>
        <w:rPr>
          <w:sz w:val="24"/>
          <w:szCs w:val="36"/>
        </w:rPr>
        <w:t>(</w:t>
      </w:r>
      <w:r>
        <w:rPr>
          <w:rFonts w:hint="eastAsia"/>
          <w:sz w:val="24"/>
          <w:szCs w:val="36"/>
        </w:rPr>
        <w:t>二）推进农村土地制度改革</w:t>
      </w:r>
      <w:r>
        <w:rPr>
          <w:sz w:val="24"/>
          <w:szCs w:val="32"/>
        </w:rPr>
        <w:tab/>
      </w:r>
      <w:r>
        <w:rPr>
          <w:sz w:val="24"/>
          <w:szCs w:val="32"/>
        </w:rPr>
        <w:fldChar w:fldCharType="begin"/>
      </w:r>
      <w:r>
        <w:rPr>
          <w:sz w:val="24"/>
          <w:szCs w:val="32"/>
        </w:rPr>
        <w:instrText xml:space="preserve"> PAGEREF _Toc21574 </w:instrText>
      </w:r>
      <w:r>
        <w:rPr>
          <w:sz w:val="24"/>
          <w:szCs w:val="32"/>
        </w:rPr>
        <w:fldChar w:fldCharType="separate"/>
      </w:r>
      <w:r>
        <w:rPr>
          <w:sz w:val="24"/>
          <w:szCs w:val="32"/>
        </w:rPr>
        <w:t>- 26 -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"_Toc23251" </w:instrText>
      </w:r>
      <w:r>
        <w:fldChar w:fldCharType="separate"/>
      </w:r>
      <w:r>
        <w:rPr>
          <w:rFonts w:hint="eastAsia"/>
          <w:sz w:val="24"/>
          <w:szCs w:val="36"/>
        </w:rPr>
        <w:t>（三）创新现代农业经营体制机制</w:t>
      </w:r>
      <w:r>
        <w:rPr>
          <w:sz w:val="24"/>
          <w:szCs w:val="32"/>
        </w:rPr>
        <w:tab/>
      </w:r>
      <w:r>
        <w:rPr>
          <w:sz w:val="24"/>
          <w:szCs w:val="32"/>
        </w:rPr>
        <w:fldChar w:fldCharType="begin"/>
      </w:r>
      <w:r>
        <w:rPr>
          <w:sz w:val="24"/>
          <w:szCs w:val="32"/>
        </w:rPr>
        <w:instrText xml:space="preserve"> PAGEREF _Toc23251 </w:instrText>
      </w:r>
      <w:r>
        <w:rPr>
          <w:sz w:val="24"/>
          <w:szCs w:val="32"/>
        </w:rPr>
        <w:fldChar w:fldCharType="separate"/>
      </w:r>
      <w:r>
        <w:rPr>
          <w:sz w:val="24"/>
          <w:szCs w:val="32"/>
        </w:rPr>
        <w:t>- 27 -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"_Toc6626" </w:instrText>
      </w:r>
      <w:r>
        <w:fldChar w:fldCharType="separate"/>
      </w:r>
      <w:r>
        <w:rPr>
          <w:rFonts w:hint="eastAsia" w:eastAsia="黑体"/>
          <w:sz w:val="24"/>
          <w:szCs w:val="36"/>
        </w:rPr>
        <w:t>六、构建新型城镇化发展体制机制，推进新型城镇化建设</w:t>
      </w:r>
      <w:r>
        <w:rPr>
          <w:sz w:val="24"/>
          <w:szCs w:val="32"/>
        </w:rPr>
        <w:tab/>
      </w:r>
      <w:r>
        <w:rPr>
          <w:sz w:val="24"/>
          <w:szCs w:val="32"/>
        </w:rPr>
        <w:fldChar w:fldCharType="begin"/>
      </w:r>
      <w:r>
        <w:rPr>
          <w:sz w:val="24"/>
          <w:szCs w:val="32"/>
        </w:rPr>
        <w:instrText xml:space="preserve"> PAGEREF _Toc6626 </w:instrText>
      </w:r>
      <w:r>
        <w:rPr>
          <w:sz w:val="24"/>
          <w:szCs w:val="32"/>
        </w:rPr>
        <w:fldChar w:fldCharType="separate"/>
      </w:r>
      <w:r>
        <w:rPr>
          <w:sz w:val="24"/>
          <w:szCs w:val="32"/>
        </w:rPr>
        <w:t>- 28 -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"_Toc1474" </w:instrText>
      </w:r>
      <w:r>
        <w:fldChar w:fldCharType="separate"/>
      </w:r>
      <w:r>
        <w:rPr>
          <w:rFonts w:hint="eastAsia"/>
          <w:sz w:val="24"/>
          <w:szCs w:val="36"/>
        </w:rPr>
        <w:t>（一）建立和完善城乡协调发展的体制机制</w:t>
      </w:r>
      <w:r>
        <w:rPr>
          <w:sz w:val="24"/>
          <w:szCs w:val="32"/>
        </w:rPr>
        <w:tab/>
      </w:r>
      <w:r>
        <w:rPr>
          <w:sz w:val="24"/>
          <w:szCs w:val="32"/>
        </w:rPr>
        <w:fldChar w:fldCharType="begin"/>
      </w:r>
      <w:r>
        <w:rPr>
          <w:sz w:val="24"/>
          <w:szCs w:val="32"/>
        </w:rPr>
        <w:instrText xml:space="preserve"> PAGEREF _Toc1474 </w:instrText>
      </w:r>
      <w:r>
        <w:rPr>
          <w:sz w:val="24"/>
          <w:szCs w:val="32"/>
        </w:rPr>
        <w:fldChar w:fldCharType="separate"/>
      </w:r>
      <w:r>
        <w:rPr>
          <w:sz w:val="24"/>
          <w:szCs w:val="32"/>
        </w:rPr>
        <w:t>- 28 -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"_Toc9068" </w:instrText>
      </w:r>
      <w:r>
        <w:fldChar w:fldCharType="separate"/>
      </w:r>
      <w:r>
        <w:rPr>
          <w:rFonts w:hint="eastAsia"/>
          <w:sz w:val="24"/>
          <w:szCs w:val="36"/>
        </w:rPr>
        <w:t>（二）加快与胜地建设需要相适应的区划调整</w:t>
      </w:r>
      <w:r>
        <w:rPr>
          <w:sz w:val="24"/>
          <w:szCs w:val="32"/>
        </w:rPr>
        <w:tab/>
      </w:r>
      <w:r>
        <w:rPr>
          <w:sz w:val="24"/>
          <w:szCs w:val="32"/>
        </w:rPr>
        <w:fldChar w:fldCharType="begin"/>
      </w:r>
      <w:r>
        <w:rPr>
          <w:sz w:val="24"/>
          <w:szCs w:val="32"/>
        </w:rPr>
        <w:instrText xml:space="preserve"> PAGEREF _Toc9068 </w:instrText>
      </w:r>
      <w:r>
        <w:rPr>
          <w:sz w:val="24"/>
          <w:szCs w:val="32"/>
        </w:rPr>
        <w:fldChar w:fldCharType="separate"/>
      </w:r>
      <w:r>
        <w:rPr>
          <w:sz w:val="24"/>
          <w:szCs w:val="32"/>
        </w:rPr>
        <w:t>- 28 -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"_Toc20796" </w:instrText>
      </w:r>
      <w:r>
        <w:fldChar w:fldCharType="separate"/>
      </w:r>
      <w:r>
        <w:rPr>
          <w:rFonts w:hint="eastAsia"/>
          <w:sz w:val="24"/>
          <w:szCs w:val="36"/>
        </w:rPr>
        <w:t>（三）统筹产城人三者融合发展机制</w:t>
      </w:r>
      <w:r>
        <w:rPr>
          <w:sz w:val="24"/>
          <w:szCs w:val="32"/>
        </w:rPr>
        <w:tab/>
      </w:r>
      <w:r>
        <w:rPr>
          <w:sz w:val="24"/>
          <w:szCs w:val="32"/>
        </w:rPr>
        <w:fldChar w:fldCharType="begin"/>
      </w:r>
      <w:r>
        <w:rPr>
          <w:sz w:val="24"/>
          <w:szCs w:val="32"/>
        </w:rPr>
        <w:instrText xml:space="preserve"> PAGEREF _Toc20796 </w:instrText>
      </w:r>
      <w:r>
        <w:rPr>
          <w:sz w:val="24"/>
          <w:szCs w:val="32"/>
        </w:rPr>
        <w:fldChar w:fldCharType="separate"/>
      </w:r>
      <w:r>
        <w:rPr>
          <w:sz w:val="24"/>
          <w:szCs w:val="32"/>
        </w:rPr>
        <w:t>- 28 -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"_Toc29520" </w:instrText>
      </w:r>
      <w:r>
        <w:fldChar w:fldCharType="separate"/>
      </w:r>
      <w:r>
        <w:rPr>
          <w:rFonts w:hint="eastAsia" w:eastAsia="黑体"/>
          <w:sz w:val="24"/>
          <w:szCs w:val="36"/>
        </w:rPr>
        <w:t>七、深化公共产品供给制度改革，为经济发展提供支撑</w:t>
      </w:r>
      <w:r>
        <w:rPr>
          <w:sz w:val="24"/>
          <w:szCs w:val="32"/>
        </w:rPr>
        <w:tab/>
      </w:r>
      <w:r>
        <w:rPr>
          <w:sz w:val="24"/>
          <w:szCs w:val="32"/>
        </w:rPr>
        <w:fldChar w:fldCharType="begin"/>
      </w:r>
      <w:r>
        <w:rPr>
          <w:sz w:val="24"/>
          <w:szCs w:val="32"/>
        </w:rPr>
        <w:instrText xml:space="preserve"> PAGEREF _Toc29520 </w:instrText>
      </w:r>
      <w:r>
        <w:rPr>
          <w:sz w:val="24"/>
          <w:szCs w:val="32"/>
        </w:rPr>
        <w:fldChar w:fldCharType="separate"/>
      </w:r>
      <w:r>
        <w:rPr>
          <w:sz w:val="24"/>
          <w:szCs w:val="32"/>
        </w:rPr>
        <w:t>- 29 -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"_Toc2750" </w:instrText>
      </w:r>
      <w:r>
        <w:fldChar w:fldCharType="separate"/>
      </w:r>
      <w:r>
        <w:rPr>
          <w:rFonts w:hint="eastAsia"/>
          <w:sz w:val="24"/>
          <w:szCs w:val="36"/>
        </w:rPr>
        <w:t>（一）深化文化产品供给体制改革</w:t>
      </w:r>
      <w:r>
        <w:rPr>
          <w:sz w:val="24"/>
          <w:szCs w:val="32"/>
        </w:rPr>
        <w:tab/>
      </w:r>
      <w:r>
        <w:rPr>
          <w:sz w:val="24"/>
          <w:szCs w:val="32"/>
        </w:rPr>
        <w:fldChar w:fldCharType="begin"/>
      </w:r>
      <w:r>
        <w:rPr>
          <w:sz w:val="24"/>
          <w:szCs w:val="32"/>
        </w:rPr>
        <w:instrText xml:space="preserve"> PAGEREF _Toc2750 </w:instrText>
      </w:r>
      <w:r>
        <w:rPr>
          <w:sz w:val="24"/>
          <w:szCs w:val="32"/>
        </w:rPr>
        <w:fldChar w:fldCharType="separate"/>
      </w:r>
      <w:r>
        <w:rPr>
          <w:sz w:val="24"/>
          <w:szCs w:val="32"/>
        </w:rPr>
        <w:t>- 29 -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"_Toc2793" </w:instrText>
      </w:r>
      <w:r>
        <w:fldChar w:fldCharType="separate"/>
      </w:r>
      <w:r>
        <w:rPr>
          <w:rFonts w:hint="eastAsia"/>
          <w:sz w:val="24"/>
          <w:szCs w:val="36"/>
        </w:rPr>
        <w:t>（二）深化就业和社会保障改革</w:t>
      </w:r>
      <w:r>
        <w:rPr>
          <w:sz w:val="24"/>
          <w:szCs w:val="32"/>
        </w:rPr>
        <w:tab/>
      </w:r>
      <w:r>
        <w:rPr>
          <w:sz w:val="24"/>
          <w:szCs w:val="32"/>
        </w:rPr>
        <w:fldChar w:fldCharType="begin"/>
      </w:r>
      <w:r>
        <w:rPr>
          <w:sz w:val="24"/>
          <w:szCs w:val="32"/>
        </w:rPr>
        <w:instrText xml:space="preserve"> PAGEREF _Toc2793 </w:instrText>
      </w:r>
      <w:r>
        <w:rPr>
          <w:sz w:val="24"/>
          <w:szCs w:val="32"/>
        </w:rPr>
        <w:fldChar w:fldCharType="separate"/>
      </w:r>
      <w:r>
        <w:rPr>
          <w:sz w:val="24"/>
          <w:szCs w:val="32"/>
        </w:rPr>
        <w:t>- 30 -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"_Toc14521" </w:instrText>
      </w:r>
      <w:r>
        <w:fldChar w:fldCharType="separate"/>
      </w:r>
      <w:r>
        <w:rPr>
          <w:rFonts w:hint="eastAsia"/>
          <w:sz w:val="24"/>
          <w:szCs w:val="36"/>
        </w:rPr>
        <w:t>（三）深化医药卫生改革</w:t>
      </w:r>
      <w:r>
        <w:rPr>
          <w:sz w:val="24"/>
          <w:szCs w:val="32"/>
        </w:rPr>
        <w:tab/>
      </w:r>
      <w:r>
        <w:rPr>
          <w:sz w:val="24"/>
          <w:szCs w:val="32"/>
        </w:rPr>
        <w:fldChar w:fldCharType="begin"/>
      </w:r>
      <w:r>
        <w:rPr>
          <w:sz w:val="24"/>
          <w:szCs w:val="32"/>
        </w:rPr>
        <w:instrText xml:space="preserve"> PAGEREF _Toc14521 </w:instrText>
      </w:r>
      <w:r>
        <w:rPr>
          <w:sz w:val="24"/>
          <w:szCs w:val="32"/>
        </w:rPr>
        <w:fldChar w:fldCharType="separate"/>
      </w:r>
      <w:r>
        <w:rPr>
          <w:sz w:val="24"/>
          <w:szCs w:val="32"/>
        </w:rPr>
        <w:t>- 32 -</w:t>
      </w:r>
      <w:r>
        <w:rPr>
          <w:sz w:val="24"/>
          <w:szCs w:val="32"/>
        </w:rPr>
        <w:fldChar w:fldCharType="end"/>
      </w:r>
      <w:r>
        <w:rPr>
          <w:sz w:val="24"/>
          <w:szCs w:val="32"/>
        </w:rPr>
        <w:fldChar w:fldCharType="end"/>
      </w:r>
    </w:p>
    <w:p>
      <w:pPr>
        <w:pStyle w:val="6"/>
        <w:tabs>
          <w:tab w:val="right" w:leader="dot" w:pos="8460"/>
        </w:tabs>
        <w:ind w:left="31680"/>
        <w:rPr>
          <w:sz w:val="24"/>
          <w:szCs w:val="32"/>
        </w:rPr>
      </w:pPr>
      <w:r>
        <w:fldChar w:fldCharType="begin"/>
      </w:r>
      <w:r>
        <w:instrText xml:space="preserve"> HYPERLINK \l "_Toc24385" </w:instrText>
      </w:r>
      <w:r>
        <w:fldChar w:fldCharType="separate"/>
      </w:r>
      <w:r>
        <w:rPr>
          <w:rFonts w:hint="eastAsia"/>
          <w:sz w:val="24"/>
          <w:szCs w:val="36"/>
        </w:rPr>
        <w:t>（四）加快推进教育均衡协调发展</w:t>
      </w:r>
      <w:r>
        <w:rPr>
          <w:sz w:val="24"/>
          <w:szCs w:val="32"/>
        </w:rPr>
        <w:tab/>
      </w:r>
      <w:r>
        <w:rPr>
          <w:sz w:val="24"/>
          <w:szCs w:val="32"/>
        </w:rPr>
        <w:fldChar w:fldCharType="begin"/>
      </w:r>
      <w:r>
        <w:rPr>
          <w:sz w:val="24"/>
          <w:szCs w:val="32"/>
        </w:rPr>
        <w:instrText xml:space="preserve"> PAGEREF _Toc24385 </w:instrText>
      </w:r>
      <w:r>
        <w:rPr>
          <w:sz w:val="24"/>
          <w:szCs w:val="32"/>
        </w:rPr>
        <w:fldChar w:fldCharType="separate"/>
      </w:r>
      <w:r>
        <w:rPr>
          <w:sz w:val="24"/>
          <w:szCs w:val="32"/>
        </w:rPr>
        <w:t>- 33 -</w:t>
      </w:r>
      <w:r>
        <w:rPr>
          <w:sz w:val="24"/>
          <w:szCs w:val="32"/>
        </w:rPr>
        <w:fldChar w:fldCharType="end"/>
      </w:r>
      <w:r>
        <w:rPr>
          <w:sz w:val="24"/>
          <w:szCs w:val="32"/>
        </w:rPr>
        <w:fldChar w:fldCharType="end"/>
      </w:r>
    </w:p>
    <w:p>
      <w:pPr>
        <w:pStyle w:val="10"/>
        <w:tabs>
          <w:tab w:val="right" w:leader="dot" w:pos="8460"/>
        </w:tabs>
        <w:rPr>
          <w:sz w:val="24"/>
          <w:szCs w:val="32"/>
        </w:rPr>
      </w:pPr>
      <w:r>
        <w:fldChar w:fldCharType="begin"/>
      </w:r>
      <w:r>
        <w:instrText xml:space="preserve"> HYPERLINK \l "_Toc27372" </w:instrText>
      </w:r>
      <w:r>
        <w:fldChar w:fldCharType="separate"/>
      </w:r>
      <w:r>
        <w:rPr>
          <w:rFonts w:hint="eastAsia" w:eastAsia="黑体"/>
          <w:sz w:val="24"/>
          <w:szCs w:val="36"/>
        </w:rPr>
        <w:t>第四章、保障措施</w:t>
      </w:r>
      <w:r>
        <w:rPr>
          <w:sz w:val="24"/>
          <w:szCs w:val="32"/>
        </w:rPr>
        <w:tab/>
      </w:r>
      <w:r>
        <w:rPr>
          <w:sz w:val="24"/>
          <w:szCs w:val="32"/>
        </w:rPr>
        <w:fldChar w:fldCharType="begin"/>
      </w:r>
      <w:r>
        <w:rPr>
          <w:sz w:val="24"/>
          <w:szCs w:val="32"/>
        </w:rPr>
        <w:instrText xml:space="preserve"> PAGEREF _Toc27372 </w:instrText>
      </w:r>
      <w:r>
        <w:rPr>
          <w:sz w:val="24"/>
          <w:szCs w:val="32"/>
        </w:rPr>
        <w:fldChar w:fldCharType="separate"/>
      </w:r>
      <w:r>
        <w:rPr>
          <w:sz w:val="24"/>
          <w:szCs w:val="32"/>
        </w:rPr>
        <w:t>- 34 -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"_Toc23703" </w:instrText>
      </w:r>
      <w:r>
        <w:fldChar w:fldCharType="separate"/>
      </w:r>
      <w:r>
        <w:rPr>
          <w:rFonts w:hint="eastAsia" w:eastAsia="黑体"/>
          <w:sz w:val="24"/>
          <w:szCs w:val="36"/>
        </w:rPr>
        <w:t>一、加强宣传力度，营造改革氛围</w:t>
      </w:r>
      <w:r>
        <w:rPr>
          <w:sz w:val="24"/>
          <w:szCs w:val="32"/>
        </w:rPr>
        <w:tab/>
      </w:r>
      <w:r>
        <w:rPr>
          <w:sz w:val="24"/>
          <w:szCs w:val="32"/>
        </w:rPr>
        <w:fldChar w:fldCharType="begin"/>
      </w:r>
      <w:r>
        <w:rPr>
          <w:sz w:val="24"/>
          <w:szCs w:val="32"/>
        </w:rPr>
        <w:instrText xml:space="preserve"> PAGEREF _Toc23703 </w:instrText>
      </w:r>
      <w:r>
        <w:rPr>
          <w:sz w:val="24"/>
          <w:szCs w:val="32"/>
        </w:rPr>
        <w:fldChar w:fldCharType="separate"/>
      </w:r>
      <w:r>
        <w:rPr>
          <w:sz w:val="24"/>
          <w:szCs w:val="32"/>
        </w:rPr>
        <w:t>- 34 -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"_Toc21062" </w:instrText>
      </w:r>
      <w:r>
        <w:fldChar w:fldCharType="separate"/>
      </w:r>
      <w:r>
        <w:rPr>
          <w:rFonts w:hint="eastAsia" w:eastAsia="黑体"/>
          <w:sz w:val="24"/>
          <w:szCs w:val="36"/>
        </w:rPr>
        <w:t>二、强化组织建设，确保高效运行</w:t>
      </w:r>
      <w:r>
        <w:rPr>
          <w:sz w:val="24"/>
          <w:szCs w:val="32"/>
        </w:rPr>
        <w:tab/>
      </w:r>
      <w:r>
        <w:rPr>
          <w:sz w:val="24"/>
          <w:szCs w:val="32"/>
        </w:rPr>
        <w:fldChar w:fldCharType="begin"/>
      </w:r>
      <w:r>
        <w:rPr>
          <w:sz w:val="24"/>
          <w:szCs w:val="32"/>
        </w:rPr>
        <w:instrText xml:space="preserve"> PAGEREF _Toc21062 </w:instrText>
      </w:r>
      <w:r>
        <w:rPr>
          <w:sz w:val="24"/>
          <w:szCs w:val="32"/>
        </w:rPr>
        <w:fldChar w:fldCharType="separate"/>
      </w:r>
      <w:r>
        <w:rPr>
          <w:sz w:val="24"/>
          <w:szCs w:val="32"/>
        </w:rPr>
        <w:t>- 35 -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"_Toc14102" </w:instrText>
      </w:r>
      <w:r>
        <w:fldChar w:fldCharType="separate"/>
      </w:r>
      <w:r>
        <w:rPr>
          <w:rFonts w:hint="eastAsia" w:eastAsia="黑体"/>
          <w:sz w:val="24"/>
          <w:szCs w:val="36"/>
        </w:rPr>
        <w:t>三、完善改革各项制度，夯实制度保障</w:t>
      </w:r>
      <w:r>
        <w:rPr>
          <w:sz w:val="24"/>
          <w:szCs w:val="32"/>
        </w:rPr>
        <w:tab/>
      </w:r>
      <w:r>
        <w:rPr>
          <w:sz w:val="24"/>
          <w:szCs w:val="32"/>
        </w:rPr>
        <w:fldChar w:fldCharType="begin"/>
      </w:r>
      <w:r>
        <w:rPr>
          <w:sz w:val="24"/>
          <w:szCs w:val="32"/>
        </w:rPr>
        <w:instrText xml:space="preserve"> PAGEREF _Toc14102 </w:instrText>
      </w:r>
      <w:r>
        <w:rPr>
          <w:sz w:val="24"/>
          <w:szCs w:val="32"/>
        </w:rPr>
        <w:fldChar w:fldCharType="separate"/>
      </w:r>
      <w:r>
        <w:rPr>
          <w:sz w:val="24"/>
          <w:szCs w:val="32"/>
        </w:rPr>
        <w:t>- 35 -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"_Toc1342" </w:instrText>
      </w:r>
      <w:r>
        <w:fldChar w:fldCharType="separate"/>
      </w:r>
      <w:r>
        <w:rPr>
          <w:rFonts w:hint="eastAsia" w:eastAsia="黑体"/>
          <w:sz w:val="24"/>
          <w:szCs w:val="36"/>
        </w:rPr>
        <w:t>四、创新推进机制</w:t>
      </w:r>
      <w:r>
        <w:rPr>
          <w:sz w:val="24"/>
          <w:szCs w:val="32"/>
        </w:rPr>
        <w:tab/>
      </w:r>
      <w:r>
        <w:rPr>
          <w:sz w:val="24"/>
          <w:szCs w:val="32"/>
        </w:rPr>
        <w:fldChar w:fldCharType="begin"/>
      </w:r>
      <w:r>
        <w:rPr>
          <w:sz w:val="24"/>
          <w:szCs w:val="32"/>
        </w:rPr>
        <w:instrText xml:space="preserve"> PAGEREF _Toc1342 </w:instrText>
      </w:r>
      <w:r>
        <w:rPr>
          <w:sz w:val="24"/>
          <w:szCs w:val="32"/>
        </w:rPr>
        <w:fldChar w:fldCharType="separate"/>
      </w:r>
      <w:r>
        <w:rPr>
          <w:sz w:val="24"/>
          <w:szCs w:val="32"/>
        </w:rPr>
        <w:t>- 35 -</w:t>
      </w:r>
      <w:r>
        <w:rPr>
          <w:sz w:val="24"/>
          <w:szCs w:val="32"/>
        </w:rPr>
        <w:fldChar w:fldCharType="end"/>
      </w:r>
      <w:r>
        <w:rPr>
          <w:sz w:val="24"/>
          <w:szCs w:val="32"/>
        </w:rPr>
        <w:fldChar w:fldCharType="end"/>
      </w:r>
    </w:p>
    <w:p>
      <w:pPr>
        <w:pStyle w:val="11"/>
        <w:tabs>
          <w:tab w:val="right" w:leader="dot" w:pos="8460"/>
        </w:tabs>
        <w:ind w:left="31680"/>
        <w:rPr>
          <w:sz w:val="24"/>
          <w:szCs w:val="32"/>
        </w:rPr>
      </w:pPr>
      <w:r>
        <w:fldChar w:fldCharType="begin"/>
      </w:r>
      <w:r>
        <w:instrText xml:space="preserve"> HYPERLINK \l "_Toc31346" </w:instrText>
      </w:r>
      <w:r>
        <w:fldChar w:fldCharType="separate"/>
      </w:r>
      <w:r>
        <w:rPr>
          <w:rFonts w:hint="eastAsia" w:eastAsia="黑体"/>
          <w:sz w:val="24"/>
          <w:szCs w:val="36"/>
        </w:rPr>
        <w:t>五、狠抓落实，确保改革取得实效</w:t>
      </w:r>
      <w:r>
        <w:rPr>
          <w:sz w:val="24"/>
          <w:szCs w:val="32"/>
        </w:rPr>
        <w:tab/>
      </w:r>
      <w:r>
        <w:rPr>
          <w:sz w:val="24"/>
          <w:szCs w:val="32"/>
        </w:rPr>
        <w:fldChar w:fldCharType="begin"/>
      </w:r>
      <w:r>
        <w:rPr>
          <w:sz w:val="24"/>
          <w:szCs w:val="32"/>
        </w:rPr>
        <w:instrText xml:space="preserve"> PAGEREF _Toc31346 </w:instrText>
      </w:r>
      <w:r>
        <w:rPr>
          <w:sz w:val="24"/>
          <w:szCs w:val="32"/>
        </w:rPr>
        <w:fldChar w:fldCharType="separate"/>
      </w:r>
      <w:r>
        <w:rPr>
          <w:sz w:val="24"/>
          <w:szCs w:val="32"/>
        </w:rPr>
        <w:t>- 35 -</w:t>
      </w:r>
      <w:r>
        <w:rPr>
          <w:sz w:val="24"/>
          <w:szCs w:val="32"/>
        </w:rPr>
        <w:fldChar w:fldCharType="end"/>
      </w:r>
      <w:r>
        <w:rPr>
          <w:sz w:val="24"/>
          <w:szCs w:val="32"/>
        </w:rPr>
        <w:fldChar w:fldCharType="end"/>
      </w:r>
    </w:p>
    <w:p>
      <w:pPr>
        <w:spacing w:line="400" w:lineRule="exact"/>
        <w:jc w:val="center"/>
        <w:rPr>
          <w:rFonts w:eastAsia="仿宋" w:cs="仿宋"/>
          <w:sz w:val="36"/>
          <w:szCs w:val="36"/>
        </w:rPr>
      </w:pPr>
      <w:r>
        <w:rPr>
          <w:rFonts w:eastAsia="仿宋" w:cs="仿宋"/>
          <w:sz w:val="36"/>
          <w:szCs w:val="36"/>
        </w:rPr>
        <w:fldChar w:fldCharType="end"/>
      </w:r>
    </w:p>
    <w:p>
      <w:pPr>
        <w:spacing w:line="360" w:lineRule="auto"/>
        <w:jc w:val="center"/>
        <w:rPr>
          <w:rFonts w:eastAsia="仿宋"/>
          <w:sz w:val="40"/>
          <w:szCs w:val="40"/>
        </w:rPr>
      </w:pPr>
    </w:p>
    <w:p>
      <w:pPr>
        <w:spacing w:line="360" w:lineRule="auto"/>
        <w:jc w:val="center"/>
        <w:rPr>
          <w:rFonts w:eastAsia="仿宋"/>
          <w:sz w:val="40"/>
          <w:szCs w:val="40"/>
        </w:rPr>
        <w:sectPr>
          <w:footerReference r:id="rId3" w:type="default"/>
          <w:pgSz w:w="11906" w:h="16838"/>
          <w:pgMar w:top="1440" w:right="1646" w:bottom="1440" w:left="1800" w:header="851" w:footer="992" w:gutter="0"/>
          <w:cols w:space="720" w:num="1"/>
          <w:docGrid w:type="lines" w:linePitch="312" w:charSpace="0"/>
        </w:sectPr>
      </w:pPr>
    </w:p>
    <w:p>
      <w:pPr>
        <w:spacing w:line="400" w:lineRule="exact"/>
        <w:jc w:val="center"/>
        <w:rPr>
          <w:rFonts w:eastAsia="仿宋"/>
          <w:sz w:val="32"/>
          <w:szCs w:val="32"/>
        </w:rPr>
      </w:pPr>
    </w:p>
    <w:p>
      <w:pPr>
        <w:spacing w:line="440" w:lineRule="exact"/>
        <w:ind w:firstLine="600" w:firstLineChars="200"/>
        <w:rPr>
          <w:rFonts w:eastAsia="仿宋" w:cs="宋体"/>
          <w:sz w:val="30"/>
          <w:szCs w:val="30"/>
        </w:rPr>
      </w:pPr>
      <w:r>
        <w:rPr>
          <w:rFonts w:eastAsia="仿宋" w:cs="宋体"/>
          <w:sz w:val="30"/>
          <w:szCs w:val="30"/>
        </w:rPr>
        <w:t xml:space="preserve"> </w:t>
      </w:r>
      <w:r>
        <w:rPr>
          <w:rFonts w:hint="eastAsia" w:eastAsia="仿宋" w:cs="宋体"/>
          <w:sz w:val="30"/>
          <w:szCs w:val="30"/>
        </w:rPr>
        <w:t>“十三五”时期是我市与全国全区同步全面建成小康社会和基本建成桂林国际旅游胜地的决胜阶段，也是全面深化改革的决胜阶段，经济体制是取得决胜的关键。为正确处理政府和市场关系，发挥经济体制改革牵引作用，在重点领域和关键环节改革上取得突破性进展，形成有利于引领经济发展新常态的体制机制，编制本规划。本规划依据党的十八届三中全会出台的《中共中央关于全面深化改革若干重大问题的决定》、国家发改委《桂林国际旅游胜地建设发展规划纲要（</w:t>
      </w:r>
      <w:r>
        <w:rPr>
          <w:rFonts w:eastAsia="仿宋" w:cs="宋体"/>
          <w:sz w:val="30"/>
          <w:szCs w:val="30"/>
        </w:rPr>
        <w:t>2012—2020</w:t>
      </w:r>
      <w:r>
        <w:rPr>
          <w:rFonts w:hint="eastAsia" w:eastAsia="仿宋" w:cs="宋体"/>
          <w:sz w:val="30"/>
          <w:szCs w:val="30"/>
        </w:rPr>
        <w:t>年）》、中共广西壮族自治区委员会关于贯彻落实《中共中央关于全面深化改革若干重大问题的决定》的意见、《中共桂林市委员会关于全面深化改革的实施意见》、《桂林市国民经济和社会发展第十三个五年规划》以及《自治区贯彻落实党的十八届三中全会精神重要改革举措实施规划</w:t>
      </w:r>
      <w:r>
        <w:rPr>
          <w:rFonts w:eastAsia="仿宋" w:cs="宋体"/>
          <w:sz w:val="30"/>
          <w:szCs w:val="30"/>
        </w:rPr>
        <w:t>(2015-2020)</w:t>
      </w:r>
      <w:r>
        <w:rPr>
          <w:rFonts w:hint="eastAsia" w:eastAsia="仿宋" w:cs="宋体"/>
          <w:sz w:val="30"/>
          <w:szCs w:val="30"/>
        </w:rPr>
        <w:t>》和《广西经济体制改革十三五规划》等编制。</w:t>
      </w:r>
    </w:p>
    <w:p>
      <w:pPr>
        <w:spacing w:line="440" w:lineRule="exact"/>
        <w:ind w:firstLine="600" w:firstLineChars="200"/>
        <w:rPr>
          <w:rFonts w:eastAsia="仿宋" w:cs="宋体"/>
          <w:sz w:val="30"/>
          <w:szCs w:val="30"/>
        </w:rPr>
      </w:pPr>
      <w:r>
        <w:rPr>
          <w:rFonts w:hint="eastAsia" w:eastAsia="仿宋" w:cs="宋体"/>
          <w:sz w:val="30"/>
          <w:szCs w:val="30"/>
        </w:rPr>
        <w:t>本规划是未来五年指导和推进我市经济体制改革工作的行动纲领，也是各县区各部门制定改革政策和安排改革工作的重要依据。</w:t>
      </w:r>
    </w:p>
    <w:p>
      <w:pPr>
        <w:spacing w:line="440" w:lineRule="exact"/>
        <w:ind w:firstLine="600" w:firstLineChars="200"/>
        <w:rPr>
          <w:rFonts w:eastAsia="仿宋_GB2312"/>
          <w:sz w:val="30"/>
          <w:szCs w:val="30"/>
        </w:rPr>
      </w:pPr>
    </w:p>
    <w:p>
      <w:pPr>
        <w:pStyle w:val="2"/>
        <w:spacing w:before="0" w:line="440" w:lineRule="exact"/>
        <w:jc w:val="center"/>
        <w:rPr>
          <w:rFonts w:eastAsia="黑体"/>
          <w:sz w:val="30"/>
          <w:szCs w:val="30"/>
        </w:rPr>
      </w:pPr>
      <w:bookmarkStart w:id="0" w:name="_Toc12778"/>
      <w:bookmarkStart w:id="1" w:name="_Toc456552685"/>
      <w:bookmarkStart w:id="2" w:name="_Toc456447928"/>
      <w:r>
        <w:rPr>
          <w:rFonts w:hint="eastAsia" w:hAnsi="黑体" w:eastAsia="黑体"/>
          <w:sz w:val="30"/>
          <w:szCs w:val="30"/>
        </w:rPr>
        <w:t>第一章</w:t>
      </w:r>
      <w:r>
        <w:rPr>
          <w:rFonts w:hint="eastAsia" w:eastAsia="黑体"/>
          <w:sz w:val="30"/>
          <w:szCs w:val="30"/>
        </w:rPr>
        <w:t>“</w:t>
      </w:r>
      <w:r>
        <w:rPr>
          <w:rFonts w:hint="eastAsia" w:hAnsi="黑体" w:eastAsia="黑体"/>
          <w:sz w:val="30"/>
          <w:szCs w:val="30"/>
        </w:rPr>
        <w:t>十三五</w:t>
      </w:r>
      <w:r>
        <w:rPr>
          <w:rFonts w:hint="eastAsia" w:eastAsia="黑体"/>
          <w:sz w:val="30"/>
          <w:szCs w:val="30"/>
        </w:rPr>
        <w:t>”</w:t>
      </w:r>
      <w:r>
        <w:rPr>
          <w:rFonts w:hint="eastAsia" w:hAnsi="黑体" w:eastAsia="黑体"/>
          <w:sz w:val="30"/>
          <w:szCs w:val="30"/>
        </w:rPr>
        <w:t>深化改革的基础和环境</w:t>
      </w:r>
      <w:bookmarkEnd w:id="0"/>
      <w:bookmarkEnd w:id="1"/>
      <w:bookmarkEnd w:id="2"/>
    </w:p>
    <w:p>
      <w:pPr>
        <w:pStyle w:val="3"/>
        <w:spacing w:line="440" w:lineRule="exact"/>
        <w:ind w:left="0" w:leftChars="0" w:firstLine="590" w:firstLineChars="196"/>
        <w:rPr>
          <w:rFonts w:ascii="Times New Roman" w:hAnsi="Times New Roman" w:eastAsia="黑体" w:cs="宋体"/>
          <w:sz w:val="30"/>
          <w:szCs w:val="30"/>
        </w:rPr>
      </w:pPr>
      <w:bookmarkStart w:id="3" w:name="_Toc456447929"/>
      <w:bookmarkStart w:id="4" w:name="_Toc456552686"/>
      <w:bookmarkStart w:id="5" w:name="_Toc14111"/>
      <w:r>
        <w:rPr>
          <w:rFonts w:hint="eastAsia" w:ascii="Times New Roman" w:hAnsi="黑体" w:eastAsia="黑体"/>
          <w:sz w:val="30"/>
          <w:szCs w:val="30"/>
        </w:rPr>
        <w:t>一、改革回顾</w:t>
      </w:r>
      <w:bookmarkEnd w:id="3"/>
      <w:bookmarkEnd w:id="4"/>
      <w:bookmarkEnd w:id="5"/>
    </w:p>
    <w:p>
      <w:pPr>
        <w:snapToGrid w:val="0"/>
        <w:spacing w:line="440" w:lineRule="exact"/>
        <w:ind w:firstLine="600" w:firstLineChars="200"/>
        <w:rPr>
          <w:rFonts w:eastAsia="仿宋" w:cs="宋体"/>
          <w:sz w:val="30"/>
          <w:szCs w:val="30"/>
        </w:rPr>
      </w:pPr>
      <w:r>
        <w:rPr>
          <w:rFonts w:eastAsia="仿宋" w:cs="宋体"/>
          <w:sz w:val="30"/>
          <w:szCs w:val="30"/>
        </w:rPr>
        <w:t>1978</w:t>
      </w:r>
      <w:r>
        <w:rPr>
          <w:rFonts w:hint="eastAsia" w:eastAsia="仿宋" w:cs="宋体"/>
          <w:sz w:val="30"/>
          <w:szCs w:val="30"/>
        </w:rPr>
        <w:t>年党的十一届三中全会后，桂林开启了持续的经济体制改革历程，这些改革奠定了我市“十三五”全面深化改革的基础。桂林市紧跟国家经济体制改革的脚步，从围绕解放思想、解放生产力这条主线，对旧的计划经济体制进行计划经济为主、市场调节为辅的调整，到突破市场调节为辅的框框，建立有计划的商品经济，再到建立社会主义市场经济体制，从制度上更好地发挥市场在资源配置中的基础性作用，经济体制改革一直走在其他改革的前面。以混合经济为主要经济形式的所有制制度基本建立，一系列市场经济运行制度正在不断完善。从承包经营到市场化战略性调整再到现代企业制度的建立，国有经济沿着产权多元化、经营现代化的方向发展。与市场经济发展相适应的各项配套改革也在不断深入：政府自身改革使市场和政府的边界在逐步清晰；社会保障制度改革等与全国同步进行；根据城市特征进行的改革也不断深入，如针对产业和城市布局调整、资源环境的利用和保护、现代技术和产业融合发展、新产业新业态的不断出现等新形势而进行的体制机制改革和创新，特别是为保护环境和适应产业升级而进行的老工业基地调整改造，影响较深远；公共产品多元提供机制改革取得了较大突破；农村全面实行农民家庭联产承包责任制，农产品流通体制逐步建立和完善，农业经营方式和农村劳动力的全面解放；统筹城乡发展路径基本确立。</w:t>
      </w:r>
    </w:p>
    <w:p>
      <w:pPr>
        <w:spacing w:line="440" w:lineRule="exact"/>
        <w:ind w:firstLine="600" w:firstLineChars="200"/>
        <w:rPr>
          <w:rFonts w:eastAsia="仿宋" w:cs="宋体"/>
          <w:sz w:val="30"/>
          <w:szCs w:val="30"/>
        </w:rPr>
      </w:pPr>
      <w:r>
        <w:rPr>
          <w:rFonts w:hint="eastAsia" w:eastAsia="仿宋" w:cs="宋体"/>
          <w:sz w:val="30"/>
          <w:szCs w:val="30"/>
        </w:rPr>
        <w:t>十八届三中全会以来，桂林市系统、整体、协同推进各项改革，推出了一系列重大改革举措。加快推进行政审批制度改革，推进市本级行政审批“马上办”作风效能建设，取消、下放、承接、调整、规范一批行政审批项目，累计取消、下放和调整权力事项</w:t>
      </w:r>
      <w:r>
        <w:rPr>
          <w:rFonts w:eastAsia="仿宋" w:cs="宋体"/>
          <w:sz w:val="30"/>
          <w:szCs w:val="30"/>
        </w:rPr>
        <w:t>4049</w:t>
      </w:r>
      <w:r>
        <w:rPr>
          <w:rFonts w:hint="eastAsia" w:eastAsia="仿宋" w:cs="宋体"/>
          <w:sz w:val="30"/>
          <w:szCs w:val="30"/>
        </w:rPr>
        <w:t>项，权力事项精简</w:t>
      </w:r>
      <w:r>
        <w:rPr>
          <w:rFonts w:eastAsia="仿宋" w:cs="宋体"/>
          <w:sz w:val="30"/>
          <w:szCs w:val="30"/>
        </w:rPr>
        <w:t>60.9%</w:t>
      </w:r>
      <w:r>
        <w:rPr>
          <w:rFonts w:hint="eastAsia" w:eastAsia="仿宋" w:cs="宋体"/>
          <w:sz w:val="30"/>
          <w:szCs w:val="30"/>
        </w:rPr>
        <w:t>，优化审批流程，实行审批目录化管理，建立责任清单和权力清单制度。实行工商登记“先照后证”“一照一码”“全城通办”、注册资本认缴制、简化登记手续等商事制度改革，商事制度改革走在全区前列。深化旅游综合配套改革，设立旅游发展委员会，改革漓江风景名胜区管理体制，实施外国人过境免签和东盟旅游团入境免签政策，旅游新业态、新模式不断涌现。进行服务业综合改革，完善服务业“</w:t>
      </w:r>
      <w:r>
        <w:rPr>
          <w:rFonts w:eastAsia="仿宋" w:cs="宋体"/>
          <w:sz w:val="30"/>
          <w:szCs w:val="30"/>
        </w:rPr>
        <w:t>345</w:t>
      </w:r>
      <w:r>
        <w:rPr>
          <w:rFonts w:hint="eastAsia" w:eastAsia="仿宋" w:cs="宋体"/>
          <w:sz w:val="30"/>
          <w:szCs w:val="30"/>
        </w:rPr>
        <w:t>”产业发展支持体系。进行农村产权制度改革，培育新型农业经营主体和服务主体。深入推进国土资源制度改革，进行旅游产业用地改革试点，实施新的土地征收补偿机制，建立低效用地再开发机制。深化财税金融体制改革，现代财政制度框架初步明确，投融资多元化，农村金融改革全面启动。医药卫生体制改革成效显著。文化、教育、科技及社会治理体制改革积极推进。公共服务提供市场化的体制机制逐步建立。这些多领域、多层次的改革奠定了桂林市经济社会发展的体制基础和发展动力。</w:t>
      </w:r>
    </w:p>
    <w:p>
      <w:pPr>
        <w:pStyle w:val="3"/>
        <w:spacing w:line="440" w:lineRule="exact"/>
        <w:ind w:left="0" w:leftChars="0" w:firstLine="590" w:firstLineChars="196"/>
        <w:rPr>
          <w:rFonts w:ascii="Times New Roman" w:hAnsi="Times New Roman" w:eastAsia="黑体"/>
          <w:sz w:val="30"/>
          <w:szCs w:val="30"/>
        </w:rPr>
      </w:pPr>
      <w:bookmarkStart w:id="6" w:name="_Toc456447930"/>
      <w:bookmarkStart w:id="7" w:name="_Toc2736"/>
      <w:bookmarkStart w:id="8" w:name="_Toc456552687"/>
      <w:r>
        <w:rPr>
          <w:rFonts w:hint="eastAsia" w:ascii="Times New Roman" w:hAnsi="黑体" w:eastAsia="黑体"/>
          <w:sz w:val="30"/>
          <w:szCs w:val="30"/>
        </w:rPr>
        <w:t>二、面临的形势</w:t>
      </w:r>
      <w:bookmarkEnd w:id="6"/>
      <w:bookmarkEnd w:id="7"/>
      <w:bookmarkEnd w:id="8"/>
    </w:p>
    <w:p>
      <w:pPr>
        <w:spacing w:line="440" w:lineRule="exact"/>
        <w:rPr>
          <w:rFonts w:eastAsia="仿宋" w:cs="宋体"/>
          <w:sz w:val="30"/>
          <w:szCs w:val="30"/>
        </w:rPr>
      </w:pPr>
      <w:r>
        <w:rPr>
          <w:rFonts w:hint="eastAsia" w:eastAsia="仿宋" w:cs="宋体"/>
          <w:sz w:val="30"/>
          <w:szCs w:val="30"/>
        </w:rPr>
        <w:t>“十三五”时期，国内外发展环境更加错综复杂，既面临着广阔空间和难得机遇，同时也存在严峻挑战。</w:t>
      </w:r>
    </w:p>
    <w:p>
      <w:pPr>
        <w:spacing w:line="440" w:lineRule="exact"/>
        <w:ind w:firstLine="600" w:firstLineChars="200"/>
        <w:rPr>
          <w:rFonts w:eastAsia="仿宋" w:cs="宋体"/>
          <w:sz w:val="30"/>
          <w:szCs w:val="30"/>
        </w:rPr>
      </w:pPr>
      <w:r>
        <w:rPr>
          <w:rFonts w:hint="eastAsia" w:eastAsia="仿宋" w:cs="宋体"/>
          <w:sz w:val="30"/>
          <w:szCs w:val="30"/>
        </w:rPr>
        <w:t>世界经济秩序和国家战略布局重大调整，拓展了改革新空间。国际金融危机深层次影响在相当长时期依然存在，全球经济贸易增长乏力，地缘政治关系复杂严峻，贸易投资规则酝酿重大变化，外部环境不稳定不确定因素增多。面对错综复杂的国际环境，我国作出“一带一路”、京津冀协同发展、长江经济带、自由贸易试验区等重大部署，广西全面履行中央赋予的面向东盟的国际大通道、西南中南地区开放发展新的战略支点、“一带一路”有机衔接的重要门户“三大定位”新使命，全方位对外开放拓展了广阔空间。改革必须立足全球一体化，健全与国际贸易投资规则和区域协调发展相适应的体制机制，提高桂林经济体的资源配置能力。</w:t>
      </w:r>
    </w:p>
    <w:p>
      <w:pPr>
        <w:snapToGrid w:val="0"/>
        <w:spacing w:line="440" w:lineRule="exact"/>
        <w:ind w:firstLine="600" w:firstLineChars="200"/>
        <w:rPr>
          <w:rFonts w:eastAsia="仿宋" w:cs="宋体"/>
          <w:sz w:val="30"/>
          <w:szCs w:val="30"/>
        </w:rPr>
      </w:pPr>
      <w:r>
        <w:rPr>
          <w:rFonts w:hint="eastAsia" w:eastAsia="仿宋" w:cs="宋体"/>
          <w:sz w:val="30"/>
          <w:szCs w:val="30"/>
        </w:rPr>
        <w:t>我国经济进入“三期叠加”的新常态，对改革提出了新的挑战。认识新常态，适应新常态，引领新常态，是“十三五”时期我国经济发展的大逻辑。我国经济正处于增长速度换挡期、结构调整阵痛期和前期刺激政策消化期，资源环境约束加大，劳动力等要素成本上升，高投入、高消耗、偏重数量扩张的发展方式已经难以为继，从要素驱动、投资驱动转向创新驱动。为应对新常态下中国经济面临新机遇和新挑战，解决中国经济面临的新问题、新矛盾，我国启动了全面深化改革，特别是供给侧结构性改革。中央根据我国政治经济形势，提出了进行全面深化改革的总体部署，已经出台和实施了一大批各领域的改革方案。广西壮族自治区党委同步启动了广西深化改革的各项重大举措。经济体制改革的目标既直面当前经济社会发展的突出问题、旨在立行立改的具体举措，又着眼长远发展、旨在标本兼治的制度建设，促进经济实现中高速增长、迈向中高端水平。</w:t>
      </w:r>
    </w:p>
    <w:p>
      <w:pPr>
        <w:snapToGrid w:val="0"/>
        <w:spacing w:line="440" w:lineRule="exact"/>
        <w:ind w:firstLine="600" w:firstLineChars="200"/>
        <w:rPr>
          <w:rFonts w:eastAsia="仿宋" w:cs="宋体"/>
          <w:sz w:val="30"/>
          <w:szCs w:val="30"/>
        </w:rPr>
      </w:pPr>
      <w:r>
        <w:rPr>
          <w:rFonts w:hint="eastAsia" w:eastAsia="仿宋" w:cs="宋体"/>
          <w:sz w:val="30"/>
          <w:szCs w:val="30"/>
        </w:rPr>
        <w:t>桂林市尚处于后发展欠发达阶段，既要跟上全国新常态新形势，大力推进创新驱动发展，同时也还需要依托要素驱动、投资驱动来补足过去发展的短板，深化经济体制改革对于桂林市来说，将会带来更大的机遇和挑战。在中央和自治区党委的正确领导下，桂林市的改革进入一个全面深化的新阶段。中共桂林市委制定了《关于全面深化改革的实施意见》，对桂林市全面深化改革作出了总体部署。“十三五”时期桂林市全面深化改革的总体任务是按照中央、自治区党委和市委的部署，系统有序地进行各领域改革，创新体制机制，建立与市场制度相适应的政治、经济、生态和社会运转机制，促进桂林市进入一个全新的发展时期。因此，探索制定“十三五”改革的对策措施，是桂林市完成全面深化改革任务，实现“两个建成”目标的关键环节。改革既是桂林实现“两个建成”的强大动力，也是桂林追赶先进地区的关键举措。</w:t>
      </w:r>
    </w:p>
    <w:p>
      <w:pPr>
        <w:pStyle w:val="3"/>
        <w:spacing w:line="440" w:lineRule="exact"/>
        <w:ind w:left="0" w:leftChars="0" w:firstLine="590" w:firstLineChars="196"/>
        <w:rPr>
          <w:rFonts w:ascii="Times New Roman" w:hAnsi="Times New Roman" w:eastAsia="黑体"/>
          <w:sz w:val="30"/>
          <w:szCs w:val="30"/>
        </w:rPr>
      </w:pPr>
      <w:bookmarkStart w:id="9" w:name="_Toc456552688"/>
      <w:bookmarkStart w:id="10" w:name="_Toc456447931"/>
      <w:bookmarkStart w:id="11" w:name="_Toc29216"/>
      <w:r>
        <w:rPr>
          <w:rFonts w:hint="eastAsia" w:ascii="Times New Roman" w:hAnsi="黑体" w:eastAsia="黑体"/>
          <w:sz w:val="30"/>
          <w:szCs w:val="30"/>
        </w:rPr>
        <w:t>三、存在的问题</w:t>
      </w:r>
      <w:bookmarkEnd w:id="9"/>
      <w:bookmarkEnd w:id="10"/>
      <w:bookmarkEnd w:id="11"/>
    </w:p>
    <w:p>
      <w:pPr>
        <w:snapToGrid w:val="0"/>
        <w:spacing w:line="440" w:lineRule="exact"/>
        <w:ind w:firstLine="600" w:firstLineChars="200"/>
        <w:rPr>
          <w:rFonts w:eastAsia="仿宋" w:cs="宋体"/>
          <w:sz w:val="30"/>
          <w:szCs w:val="30"/>
        </w:rPr>
      </w:pPr>
      <w:r>
        <w:rPr>
          <w:rFonts w:hint="eastAsia" w:eastAsia="仿宋" w:cs="宋体"/>
          <w:sz w:val="30"/>
          <w:szCs w:val="30"/>
        </w:rPr>
        <w:t>随着经济社会的发展，更为深层次更为基础性的经济体制机制制约不断凸显，这些都是改革的“硬骨头”。当前桂林市存在的突出经济体制问题主要有：</w:t>
      </w:r>
    </w:p>
    <w:p>
      <w:pPr>
        <w:spacing w:line="440" w:lineRule="exact"/>
        <w:ind w:firstLine="600" w:firstLineChars="200"/>
        <w:rPr>
          <w:rFonts w:eastAsia="仿宋" w:cs="宋体"/>
          <w:sz w:val="30"/>
          <w:szCs w:val="30"/>
        </w:rPr>
      </w:pPr>
      <w:r>
        <w:rPr>
          <w:rFonts w:eastAsia="仿宋" w:cs="宋体"/>
          <w:sz w:val="30"/>
          <w:szCs w:val="30"/>
        </w:rPr>
        <w:t xml:space="preserve"> 1</w:t>
      </w:r>
      <w:r>
        <w:rPr>
          <w:rFonts w:hint="eastAsia" w:eastAsia="仿宋" w:cs="宋体"/>
          <w:sz w:val="30"/>
          <w:szCs w:val="30"/>
        </w:rPr>
        <w:t>、驱动资源优化配置的体制机制尚不完善。民营资本没有得到充分激活，混合经济发展受到制约。桂林市国企行政化色彩深厚，市场化程度低、效率低、效益差、机制僵化，民营资本与国有资本的结合程度很低，还存在体制障碍。国资国企统一监管体系尚未完善，国企整合资源功能不强。非公企业发展的环境还不够优，机制不完善，监管制度不完善。经济发展动力不足。</w:t>
      </w:r>
    </w:p>
    <w:p>
      <w:pPr>
        <w:snapToGrid w:val="0"/>
        <w:spacing w:line="440" w:lineRule="exact"/>
        <w:ind w:firstLine="600" w:firstLineChars="200"/>
        <w:rPr>
          <w:rFonts w:eastAsia="仿宋" w:cs="宋体"/>
          <w:sz w:val="30"/>
          <w:szCs w:val="30"/>
        </w:rPr>
      </w:pPr>
      <w:r>
        <w:rPr>
          <w:rFonts w:eastAsia="仿宋" w:cs="宋体"/>
          <w:sz w:val="30"/>
          <w:szCs w:val="30"/>
        </w:rPr>
        <w:t>2</w:t>
      </w:r>
      <w:r>
        <w:rPr>
          <w:rFonts w:hint="eastAsia" w:eastAsia="仿宋" w:cs="宋体"/>
          <w:sz w:val="30"/>
          <w:szCs w:val="30"/>
        </w:rPr>
        <w:t>、政府职能转变不够。政府与市场边界不清，宏观经济管理效率低，重审批轻管理，规范和约束政府部门权力的机制不完善，政府部门服务不到位，监督体系不健全。</w:t>
      </w:r>
    </w:p>
    <w:p>
      <w:pPr>
        <w:snapToGrid w:val="0"/>
        <w:spacing w:line="440" w:lineRule="exact"/>
        <w:ind w:firstLine="600" w:firstLineChars="200"/>
        <w:rPr>
          <w:rFonts w:eastAsia="仿宋" w:cs="宋体"/>
          <w:sz w:val="30"/>
          <w:szCs w:val="30"/>
        </w:rPr>
      </w:pPr>
      <w:r>
        <w:rPr>
          <w:rFonts w:eastAsia="仿宋" w:cs="宋体"/>
          <w:sz w:val="30"/>
          <w:szCs w:val="30"/>
        </w:rPr>
        <w:t>3</w:t>
      </w:r>
      <w:r>
        <w:rPr>
          <w:rFonts w:hint="eastAsia" w:eastAsia="仿宋" w:cs="宋体"/>
          <w:sz w:val="30"/>
          <w:szCs w:val="30"/>
        </w:rPr>
        <w:t>、推动产业发展的体制机制不健全。产业布局不合理，推动服务业快速发展的协调机制缺乏。园区管理体制不完善，老工业产业调整的任务还较重。国际旅游胜地建设体制机制滞后，漓江管理体制尚待进一步理顺，旅游资源运营低效。农业发展的机制调整难度很大。</w:t>
      </w:r>
    </w:p>
    <w:p>
      <w:pPr>
        <w:snapToGrid w:val="0"/>
        <w:spacing w:line="440" w:lineRule="exact"/>
        <w:ind w:firstLine="600" w:firstLineChars="200"/>
        <w:rPr>
          <w:rFonts w:eastAsia="仿宋" w:cs="宋体"/>
          <w:sz w:val="30"/>
          <w:szCs w:val="30"/>
        </w:rPr>
      </w:pPr>
      <w:r>
        <w:rPr>
          <w:rFonts w:eastAsia="仿宋" w:cs="宋体"/>
          <w:sz w:val="30"/>
          <w:szCs w:val="30"/>
        </w:rPr>
        <w:t>4</w:t>
      </w:r>
      <w:r>
        <w:rPr>
          <w:rFonts w:hint="eastAsia" w:eastAsia="仿宋" w:cs="宋体"/>
          <w:sz w:val="30"/>
          <w:szCs w:val="30"/>
        </w:rPr>
        <w:t>、宏观经济管理制度与经济发展的要求不适应。财税制度现代化差距较大，财政体制制约经济发展。投融资体系不能适应经济发展的需要。城镇化快速发展的动力尚未形成，土地利用效率低，“三农”问题突出。</w:t>
      </w:r>
    </w:p>
    <w:p>
      <w:pPr>
        <w:snapToGrid w:val="0"/>
        <w:spacing w:line="440" w:lineRule="exact"/>
        <w:ind w:firstLine="600" w:firstLineChars="200"/>
        <w:rPr>
          <w:rFonts w:eastAsia="仿宋" w:cs="宋体"/>
          <w:sz w:val="30"/>
          <w:szCs w:val="30"/>
        </w:rPr>
      </w:pPr>
      <w:r>
        <w:rPr>
          <w:rFonts w:eastAsia="仿宋" w:cs="宋体"/>
          <w:sz w:val="30"/>
          <w:szCs w:val="30"/>
        </w:rPr>
        <w:t>5</w:t>
      </w:r>
      <w:r>
        <w:rPr>
          <w:rFonts w:hint="eastAsia" w:eastAsia="仿宋" w:cs="宋体"/>
          <w:sz w:val="30"/>
          <w:szCs w:val="30"/>
        </w:rPr>
        <w:t>、公共产品供给不足。</w:t>
      </w:r>
      <w:r>
        <w:fldChar w:fldCharType="begin"/>
      </w:r>
      <w:r>
        <w:instrText xml:space="preserve"> HYPERLINK "http://www.baidu.com/link?url=7S3j90hjaFT3hJtWdmT79H9H7-y-pC8wkZjQxsLOIRzWgauox1S1WkhXttTzlzd2tEcACSljL2Ou6N4ZAEa3ouU4r2qiELvHNcn9HAdngf_&amp;wd=&amp;eqid=aaf17a5200003317000000055594c1db" \t "http://www.baidu.com/_blank" </w:instrText>
      </w:r>
      <w:r>
        <w:fldChar w:fldCharType="separate"/>
      </w:r>
      <w:r>
        <w:rPr>
          <w:rFonts w:hint="eastAsia" w:eastAsia="仿宋" w:cs="宋体"/>
          <w:sz w:val="30"/>
          <w:szCs w:val="30"/>
        </w:rPr>
        <w:t>公共服务</w:t>
      </w:r>
      <w:r>
        <w:rPr>
          <w:rFonts w:hint="eastAsia" w:eastAsia="仿宋" w:cs="宋体"/>
          <w:sz w:val="30"/>
          <w:szCs w:val="30"/>
        </w:rPr>
        <w:fldChar w:fldCharType="end"/>
      </w:r>
      <w:r>
        <w:rPr>
          <w:rFonts w:hint="eastAsia" w:eastAsia="仿宋" w:cs="宋体"/>
          <w:sz w:val="30"/>
          <w:szCs w:val="30"/>
        </w:rPr>
        <w:t>提供机制与经济发展不适应，缺乏充分激活创新的机制，教育保障机制不完善，公共卫生服务机制不健全，金融服务不能满足需要，企业融资难、融资贵的问题还比较突出。</w:t>
      </w:r>
    </w:p>
    <w:p>
      <w:pPr>
        <w:snapToGrid w:val="0"/>
        <w:spacing w:line="440" w:lineRule="exact"/>
        <w:ind w:firstLine="600" w:firstLineChars="200"/>
        <w:rPr>
          <w:rFonts w:eastAsia="仿宋" w:cs="宋体"/>
          <w:sz w:val="30"/>
          <w:szCs w:val="30"/>
        </w:rPr>
      </w:pPr>
    </w:p>
    <w:p>
      <w:pPr>
        <w:pStyle w:val="2"/>
        <w:spacing w:before="0" w:line="440" w:lineRule="exact"/>
        <w:jc w:val="center"/>
        <w:rPr>
          <w:rFonts w:eastAsia="黑体"/>
          <w:sz w:val="30"/>
          <w:szCs w:val="30"/>
        </w:rPr>
      </w:pPr>
      <w:bookmarkStart w:id="12" w:name="_Toc456552689"/>
      <w:bookmarkStart w:id="13" w:name="_Toc12888"/>
      <w:bookmarkStart w:id="14" w:name="_Toc456447932"/>
      <w:r>
        <w:rPr>
          <w:rFonts w:hint="eastAsia" w:hAnsi="黑体" w:eastAsia="黑体"/>
          <w:sz w:val="30"/>
          <w:szCs w:val="30"/>
        </w:rPr>
        <w:t>第二章指导思想、原则和目标</w:t>
      </w:r>
      <w:bookmarkEnd w:id="12"/>
      <w:bookmarkEnd w:id="13"/>
      <w:bookmarkEnd w:id="14"/>
    </w:p>
    <w:p>
      <w:pPr>
        <w:pStyle w:val="3"/>
        <w:spacing w:line="440" w:lineRule="exact"/>
        <w:ind w:left="0" w:leftChars="0" w:firstLine="590" w:firstLineChars="196"/>
        <w:rPr>
          <w:rFonts w:ascii="Times New Roman" w:hAnsi="Times New Roman" w:eastAsia="黑体"/>
          <w:sz w:val="30"/>
          <w:szCs w:val="30"/>
        </w:rPr>
      </w:pPr>
      <w:bookmarkStart w:id="15" w:name="_Toc456552690"/>
      <w:bookmarkStart w:id="16" w:name="_Toc30534"/>
      <w:bookmarkStart w:id="17" w:name="_Toc456447933"/>
      <w:r>
        <w:rPr>
          <w:rFonts w:hint="eastAsia" w:ascii="Times New Roman" w:hAnsi="黑体" w:eastAsia="黑体"/>
          <w:sz w:val="30"/>
          <w:szCs w:val="30"/>
        </w:rPr>
        <w:t>一、总体要求</w:t>
      </w:r>
      <w:bookmarkEnd w:id="15"/>
      <w:bookmarkEnd w:id="16"/>
      <w:bookmarkEnd w:id="17"/>
    </w:p>
    <w:p>
      <w:pPr>
        <w:spacing w:line="440" w:lineRule="exact"/>
        <w:ind w:firstLine="630"/>
        <w:rPr>
          <w:rFonts w:eastAsia="仿宋" w:cs="宋体"/>
          <w:sz w:val="30"/>
          <w:szCs w:val="30"/>
        </w:rPr>
      </w:pPr>
      <w:r>
        <w:rPr>
          <w:rFonts w:hint="eastAsia" w:eastAsia="仿宋" w:cs="宋体"/>
          <w:sz w:val="30"/>
          <w:szCs w:val="30"/>
        </w:rPr>
        <w:t>全面贯彻党的十八大、十八届三中、四中、五中全会精神和自治区党委的战略布局，以“四个全面”战略布局为统领，按照“实干就是能力、落实才是水平”的要求，进一步解放思想、解放和发展社会生产力、解放和增强社会活力，坚持目标导向、问题导向、绩效导向，以处理好政府和市场关系为核心，以推进供给侧结构性改革为主线，以加快培育形成新的增长动力为重点，深入推进重点领域和关键环节改革，协调好改革涉及的利益关系，着力形成有利于践行创新、协调、绿色、开放、共享发展理念的体制机制，为全面建成小康社会和基本建成国际旅游胜地提供动力支撑和制度保障。</w:t>
      </w:r>
    </w:p>
    <w:p>
      <w:pPr>
        <w:pStyle w:val="3"/>
        <w:spacing w:line="440" w:lineRule="exact"/>
        <w:ind w:left="0" w:leftChars="0" w:firstLine="590" w:firstLineChars="196"/>
        <w:rPr>
          <w:rFonts w:ascii="Times New Roman" w:hAnsi="Times New Roman" w:eastAsia="黑体"/>
          <w:sz w:val="30"/>
          <w:szCs w:val="30"/>
        </w:rPr>
      </w:pPr>
      <w:bookmarkStart w:id="18" w:name="_Toc7211"/>
      <w:bookmarkStart w:id="19" w:name="_Toc456552691"/>
      <w:bookmarkStart w:id="20" w:name="_Toc456447934"/>
      <w:r>
        <w:rPr>
          <w:rFonts w:hint="eastAsia" w:ascii="Times New Roman" w:hAnsi="黑体" w:eastAsia="黑体"/>
          <w:sz w:val="30"/>
          <w:szCs w:val="30"/>
        </w:rPr>
        <w:t>二、基本原则</w:t>
      </w:r>
      <w:bookmarkEnd w:id="18"/>
      <w:bookmarkEnd w:id="19"/>
      <w:bookmarkEnd w:id="20"/>
    </w:p>
    <w:p>
      <w:pPr>
        <w:spacing w:line="440" w:lineRule="exact"/>
        <w:ind w:firstLine="600" w:firstLineChars="200"/>
        <w:rPr>
          <w:rFonts w:eastAsia="仿宋" w:cs="宋体"/>
          <w:sz w:val="30"/>
          <w:szCs w:val="30"/>
        </w:rPr>
      </w:pPr>
      <w:r>
        <w:rPr>
          <w:rFonts w:eastAsia="仿宋" w:cs="宋体"/>
          <w:sz w:val="30"/>
          <w:szCs w:val="30"/>
        </w:rPr>
        <w:t>——</w:t>
      </w:r>
      <w:r>
        <w:rPr>
          <w:rFonts w:hint="eastAsia" w:eastAsia="仿宋" w:cs="宋体"/>
          <w:sz w:val="30"/>
          <w:szCs w:val="30"/>
        </w:rPr>
        <w:t>坚持谋划长远发展与解决当前突出问题相结合。着眼于建立健全有利于经济全面协调可持续发展的体制机制，实现经济发展方式转变；着力于破除保持经济稳定增长急需解决的体制机制矛盾。</w:t>
      </w:r>
    </w:p>
    <w:p>
      <w:pPr>
        <w:spacing w:line="440" w:lineRule="exact"/>
        <w:ind w:firstLine="600" w:firstLineChars="200"/>
        <w:rPr>
          <w:rFonts w:eastAsia="仿宋" w:cs="宋体"/>
          <w:sz w:val="30"/>
          <w:szCs w:val="30"/>
        </w:rPr>
      </w:pPr>
      <w:r>
        <w:rPr>
          <w:rFonts w:eastAsia="仿宋" w:cs="宋体"/>
          <w:sz w:val="30"/>
          <w:szCs w:val="30"/>
        </w:rPr>
        <w:t>——</w:t>
      </w:r>
      <w:r>
        <w:rPr>
          <w:rFonts w:hint="eastAsia" w:eastAsia="仿宋" w:cs="宋体"/>
          <w:sz w:val="30"/>
          <w:szCs w:val="30"/>
        </w:rPr>
        <w:t>坚持“于法有据”与“激励创新”相结合。坚守“凡属重大改革必于法有据”，运用法治思维和法治方式深化改革，依法改革；大胆破除阻碍生产力发展的体制机制，建立行之有效的改革成果制度化、规范化机制，保护创新。</w:t>
      </w:r>
    </w:p>
    <w:p>
      <w:pPr>
        <w:spacing w:line="440" w:lineRule="exact"/>
        <w:ind w:firstLine="600" w:firstLineChars="200"/>
        <w:rPr>
          <w:rFonts w:eastAsia="仿宋" w:cs="宋体"/>
          <w:sz w:val="30"/>
          <w:szCs w:val="30"/>
        </w:rPr>
      </w:pPr>
      <w:r>
        <w:rPr>
          <w:rFonts w:eastAsia="仿宋" w:cs="宋体"/>
          <w:sz w:val="30"/>
          <w:szCs w:val="30"/>
        </w:rPr>
        <w:t>——</w:t>
      </w:r>
      <w:r>
        <w:rPr>
          <w:rFonts w:hint="eastAsia" w:eastAsia="仿宋" w:cs="宋体"/>
          <w:sz w:val="30"/>
          <w:szCs w:val="30"/>
        </w:rPr>
        <w:t>坚持顶层设计与基层创新相结合。推动改革顶层设计和基层探索互动，汇聚民智民力，激发全社会创造活力，重点解决好改革方案同实际相结合的问题，使改革更加精准地对接发展所需。</w:t>
      </w:r>
    </w:p>
    <w:p>
      <w:pPr>
        <w:spacing w:line="440" w:lineRule="exact"/>
        <w:ind w:firstLine="600" w:firstLineChars="200"/>
        <w:rPr>
          <w:rFonts w:eastAsia="仿宋" w:cs="宋体"/>
          <w:sz w:val="30"/>
          <w:szCs w:val="30"/>
        </w:rPr>
      </w:pPr>
      <w:r>
        <w:rPr>
          <w:rFonts w:eastAsia="仿宋" w:cs="宋体"/>
          <w:sz w:val="30"/>
          <w:szCs w:val="30"/>
        </w:rPr>
        <w:t>——</w:t>
      </w:r>
      <w:r>
        <w:rPr>
          <w:rFonts w:hint="eastAsia" w:eastAsia="仿宋" w:cs="宋体"/>
          <w:sz w:val="30"/>
          <w:szCs w:val="30"/>
        </w:rPr>
        <w:t>坚持整体推进与精准发力相结合。从实际出发选准主攻方向，紧盯供给侧结构性改革，突出桂林特色，推出一批牵一发而动全身的改革举措；强化改革的全局意识，注重系统性、整体性、协同性，发挥示范引领作用。</w:t>
      </w:r>
    </w:p>
    <w:p>
      <w:pPr>
        <w:spacing w:line="440" w:lineRule="exact"/>
        <w:ind w:firstLine="600" w:firstLineChars="200"/>
        <w:rPr>
          <w:rFonts w:eastAsia="仿宋" w:cs="宋体"/>
          <w:sz w:val="30"/>
          <w:szCs w:val="30"/>
        </w:rPr>
      </w:pPr>
      <w:r>
        <w:rPr>
          <w:rFonts w:eastAsia="仿宋" w:cs="宋体"/>
          <w:sz w:val="30"/>
          <w:szCs w:val="30"/>
        </w:rPr>
        <w:t>——</w:t>
      </w:r>
      <w:r>
        <w:rPr>
          <w:rFonts w:hint="eastAsia" w:eastAsia="仿宋" w:cs="宋体"/>
          <w:sz w:val="30"/>
          <w:szCs w:val="30"/>
        </w:rPr>
        <w:t>坚持改革发展稳定相结合。胆子要大、步子要稳，充分考虑改革的力度、发展的速度和社会可承受的程度，把握好改革的时机和节奏，赢得改革的最大公约数，增强人民群众对改革的获得感，赢得最大范围的改革共识，用最小的波动换取改革的推进和社会的稳定。</w:t>
      </w:r>
    </w:p>
    <w:p>
      <w:pPr>
        <w:pStyle w:val="3"/>
        <w:spacing w:line="440" w:lineRule="exact"/>
        <w:ind w:left="0" w:leftChars="0" w:firstLine="590" w:firstLineChars="196"/>
        <w:rPr>
          <w:rFonts w:ascii="Times New Roman" w:hAnsi="Times New Roman" w:eastAsia="黑体"/>
          <w:sz w:val="30"/>
          <w:szCs w:val="30"/>
        </w:rPr>
      </w:pPr>
      <w:bookmarkStart w:id="21" w:name="_Toc456447935"/>
      <w:bookmarkStart w:id="22" w:name="_Toc456552692"/>
      <w:bookmarkStart w:id="23" w:name="_Toc1317"/>
      <w:r>
        <w:rPr>
          <w:rFonts w:hint="eastAsia" w:ascii="Times New Roman" w:hAnsi="黑体" w:eastAsia="黑体"/>
          <w:sz w:val="30"/>
          <w:szCs w:val="30"/>
        </w:rPr>
        <w:t>三、主要目标</w:t>
      </w:r>
      <w:bookmarkEnd w:id="21"/>
      <w:bookmarkEnd w:id="22"/>
      <w:bookmarkEnd w:id="23"/>
    </w:p>
    <w:p>
      <w:pPr>
        <w:spacing w:line="440" w:lineRule="exact"/>
        <w:ind w:firstLine="600" w:firstLineChars="200"/>
        <w:rPr>
          <w:rFonts w:eastAsia="仿宋" w:cs="宋体"/>
          <w:sz w:val="30"/>
          <w:szCs w:val="30"/>
        </w:rPr>
      </w:pPr>
      <w:r>
        <w:rPr>
          <w:rFonts w:hint="eastAsia" w:eastAsia="仿宋" w:cs="宋体"/>
          <w:sz w:val="30"/>
          <w:szCs w:val="30"/>
        </w:rPr>
        <w:t>经济体制改革的总体目标是，力争保持体制机制领先优势，到</w:t>
      </w:r>
      <w:r>
        <w:rPr>
          <w:rFonts w:eastAsia="仿宋" w:cs="宋体"/>
          <w:sz w:val="30"/>
          <w:szCs w:val="30"/>
        </w:rPr>
        <w:t>2020</w:t>
      </w:r>
      <w:r>
        <w:rPr>
          <w:rFonts w:hint="eastAsia" w:eastAsia="仿宋" w:cs="宋体"/>
          <w:sz w:val="30"/>
          <w:szCs w:val="30"/>
        </w:rPr>
        <w:t>年在重要领域和关键环节改革上取得决定性成果，形成系统完备、科学规范、运行有效的制度体系，使各方面制度成熟、定型。</w:t>
      </w:r>
    </w:p>
    <w:p>
      <w:pPr>
        <w:spacing w:line="440" w:lineRule="exact"/>
        <w:ind w:firstLine="600" w:firstLineChars="200"/>
        <w:rPr>
          <w:rFonts w:eastAsia="仿宋" w:cs="宋体"/>
          <w:sz w:val="30"/>
          <w:szCs w:val="30"/>
        </w:rPr>
      </w:pPr>
      <w:r>
        <w:rPr>
          <w:rFonts w:eastAsia="仿宋" w:cs="宋体"/>
          <w:sz w:val="30"/>
          <w:szCs w:val="30"/>
        </w:rPr>
        <w:t>——</w:t>
      </w:r>
      <w:r>
        <w:rPr>
          <w:rFonts w:hint="eastAsia" w:eastAsia="仿宋" w:cs="宋体"/>
          <w:sz w:val="30"/>
          <w:szCs w:val="30"/>
        </w:rPr>
        <w:t>基本形成法治高效的现代治理体系。政府行政效能加快提升，公共服务型政府建设取得显著成效，公共财政体制进一步完善，社会组织承接政府职责转移和服务企业、服务社会职能不断增强，有效发挥市场与政府作用的协同机制初具雏形。</w:t>
      </w:r>
    </w:p>
    <w:p>
      <w:pPr>
        <w:spacing w:line="440" w:lineRule="exact"/>
        <w:ind w:firstLine="600" w:firstLineChars="200"/>
        <w:rPr>
          <w:rFonts w:eastAsia="仿宋" w:cs="宋体"/>
          <w:sz w:val="30"/>
          <w:szCs w:val="30"/>
        </w:rPr>
      </w:pPr>
      <w:r>
        <w:rPr>
          <w:rFonts w:eastAsia="仿宋" w:cs="宋体"/>
          <w:sz w:val="30"/>
          <w:szCs w:val="30"/>
        </w:rPr>
        <w:t>——</w:t>
      </w:r>
      <w:r>
        <w:rPr>
          <w:rFonts w:hint="eastAsia" w:eastAsia="仿宋" w:cs="宋体"/>
          <w:sz w:val="30"/>
          <w:szCs w:val="30"/>
        </w:rPr>
        <w:t>基本形成较为完善的产业发展政策体系。各类要素市场进一步发展壮大，资源配置的市场化程度不断提高，土地、资金、能源、环境等关键要素的集聚、供给基本顺畅，各类市场的服务、监督和管理体系基本建立。</w:t>
      </w:r>
    </w:p>
    <w:p>
      <w:pPr>
        <w:spacing w:line="440" w:lineRule="exact"/>
        <w:ind w:firstLine="600" w:firstLineChars="200"/>
        <w:rPr>
          <w:rFonts w:eastAsia="仿宋" w:cs="宋体"/>
          <w:sz w:val="30"/>
          <w:szCs w:val="30"/>
        </w:rPr>
      </w:pPr>
      <w:r>
        <w:rPr>
          <w:rFonts w:eastAsia="仿宋" w:cs="宋体"/>
          <w:sz w:val="30"/>
          <w:szCs w:val="30"/>
        </w:rPr>
        <w:t>——</w:t>
      </w:r>
      <w:r>
        <w:rPr>
          <w:rFonts w:hint="eastAsia" w:eastAsia="仿宋" w:cs="宋体"/>
          <w:sz w:val="30"/>
          <w:szCs w:val="30"/>
        </w:rPr>
        <w:t>基本形成充满活力的创业创新体制。不断加强以企业为主体、产学研相结合的技术创新体系建设，以市场化为导向的科研管理、科技评价、科技激励等体制机制改革取得新突破。要素集聚化、服务专业化、运营市场化和资源开放化的大众创业、万众创新新格局基本形成。</w:t>
      </w:r>
    </w:p>
    <w:p>
      <w:pPr>
        <w:spacing w:line="440" w:lineRule="exact"/>
        <w:ind w:firstLine="600" w:firstLineChars="200"/>
        <w:rPr>
          <w:rFonts w:eastAsia="仿宋" w:cs="宋体"/>
          <w:sz w:val="30"/>
          <w:szCs w:val="30"/>
        </w:rPr>
      </w:pPr>
      <w:r>
        <w:rPr>
          <w:rFonts w:eastAsia="仿宋" w:cs="宋体"/>
          <w:sz w:val="30"/>
          <w:szCs w:val="30"/>
        </w:rPr>
        <w:t>——</w:t>
      </w:r>
      <w:r>
        <w:rPr>
          <w:rFonts w:hint="eastAsia" w:eastAsia="仿宋" w:cs="宋体"/>
          <w:sz w:val="30"/>
          <w:szCs w:val="30"/>
        </w:rPr>
        <w:t>基本形成平等共享的城乡发展体制。农村产权制度改革基本完成，农村各类权能得到进一步保障，公共服务和公共设施城乡共享机制加快建立，社会福利和社会保障实现更高水平，以城带乡、以乡促城、城乡融合的一体化发展格局形成。</w:t>
      </w:r>
    </w:p>
    <w:p>
      <w:pPr>
        <w:spacing w:line="440" w:lineRule="exact"/>
        <w:ind w:firstLine="600" w:firstLineChars="200"/>
        <w:rPr>
          <w:rFonts w:eastAsia="仿宋" w:cs="宋体"/>
          <w:sz w:val="30"/>
          <w:szCs w:val="30"/>
        </w:rPr>
      </w:pPr>
      <w:r>
        <w:rPr>
          <w:rFonts w:eastAsia="仿宋" w:cs="宋体"/>
          <w:sz w:val="30"/>
          <w:szCs w:val="30"/>
        </w:rPr>
        <w:t>——</w:t>
      </w:r>
      <w:r>
        <w:rPr>
          <w:rFonts w:hint="eastAsia" w:eastAsia="仿宋" w:cs="宋体"/>
          <w:sz w:val="30"/>
          <w:szCs w:val="30"/>
        </w:rPr>
        <w:t>基本形成全方位的对内对外开放体制。在“一带一路”倡议和广西双核驱动、三区统筹战略中的地位基本确立，促进地区间交流合作深度和广度的机制进一步完善，与国际投资贸易规则相适应的体制机制基本建立。</w:t>
      </w:r>
    </w:p>
    <w:p>
      <w:pPr>
        <w:spacing w:line="440" w:lineRule="exact"/>
        <w:ind w:firstLine="600" w:firstLineChars="200"/>
        <w:rPr>
          <w:rFonts w:eastAsia="仿宋" w:cs="宋体"/>
          <w:sz w:val="30"/>
          <w:szCs w:val="30"/>
        </w:rPr>
      </w:pPr>
    </w:p>
    <w:p>
      <w:pPr>
        <w:pStyle w:val="2"/>
        <w:spacing w:before="0" w:line="440" w:lineRule="exact"/>
        <w:jc w:val="center"/>
        <w:rPr>
          <w:rFonts w:eastAsia="黑体"/>
          <w:sz w:val="30"/>
          <w:szCs w:val="30"/>
        </w:rPr>
      </w:pPr>
      <w:bookmarkStart w:id="24" w:name="_Toc456552693"/>
      <w:bookmarkStart w:id="25" w:name="_Toc456447936"/>
      <w:bookmarkStart w:id="26" w:name="_Toc27434"/>
      <w:r>
        <w:rPr>
          <w:rFonts w:hint="eastAsia" w:hAnsi="黑体" w:eastAsia="黑体"/>
          <w:sz w:val="30"/>
          <w:szCs w:val="30"/>
        </w:rPr>
        <w:t>第三章重点任务</w:t>
      </w:r>
      <w:bookmarkEnd w:id="24"/>
      <w:bookmarkEnd w:id="25"/>
      <w:bookmarkEnd w:id="26"/>
    </w:p>
    <w:p>
      <w:pPr>
        <w:pStyle w:val="3"/>
        <w:spacing w:line="440" w:lineRule="exact"/>
        <w:ind w:left="0" w:leftChars="0" w:firstLine="590" w:firstLineChars="196"/>
        <w:rPr>
          <w:rFonts w:ascii="Times New Roman" w:hAnsi="Times New Roman" w:eastAsia="黑体"/>
          <w:sz w:val="30"/>
          <w:szCs w:val="30"/>
        </w:rPr>
      </w:pPr>
      <w:bookmarkStart w:id="27" w:name="_Toc456552694"/>
      <w:bookmarkStart w:id="28" w:name="_Toc7789"/>
      <w:bookmarkStart w:id="29" w:name="_Toc456447937"/>
      <w:r>
        <w:rPr>
          <w:rFonts w:hint="eastAsia" w:ascii="Times New Roman" w:hAnsi="黑体" w:eastAsia="黑体"/>
          <w:sz w:val="30"/>
          <w:szCs w:val="30"/>
        </w:rPr>
        <w:t>一、加快转变政府职能，建立服务型政府</w:t>
      </w:r>
      <w:bookmarkEnd w:id="27"/>
      <w:bookmarkEnd w:id="28"/>
      <w:bookmarkEnd w:id="29"/>
      <w:bookmarkStart w:id="30" w:name="_Toc456447938"/>
      <w:bookmarkStart w:id="31" w:name="_Toc456552695"/>
    </w:p>
    <w:p>
      <w:pPr>
        <w:pStyle w:val="27"/>
        <w:spacing w:before="0" w:after="0" w:line="440" w:lineRule="exact"/>
        <w:rPr>
          <w:sz w:val="30"/>
          <w:szCs w:val="30"/>
        </w:rPr>
      </w:pPr>
      <w:r>
        <w:rPr>
          <w:rFonts w:hint="eastAsia"/>
          <w:sz w:val="30"/>
          <w:szCs w:val="30"/>
        </w:rPr>
        <w:t>　</w:t>
      </w:r>
      <w:bookmarkStart w:id="32" w:name="_Toc15389"/>
      <w:r>
        <w:rPr>
          <w:rFonts w:hint="eastAsia"/>
          <w:sz w:val="30"/>
          <w:szCs w:val="30"/>
        </w:rPr>
        <w:t>（一）健全宏观经济管理决策机制</w:t>
      </w:r>
      <w:bookmarkEnd w:id="30"/>
      <w:bookmarkEnd w:id="31"/>
      <w:bookmarkEnd w:id="32"/>
    </w:p>
    <w:p>
      <w:pPr>
        <w:spacing w:line="440" w:lineRule="exact"/>
        <w:ind w:firstLine="641"/>
        <w:rPr>
          <w:rFonts w:eastAsia="仿宋"/>
          <w:sz w:val="30"/>
          <w:szCs w:val="30"/>
        </w:rPr>
      </w:pPr>
      <w:r>
        <w:rPr>
          <w:rFonts w:hint="eastAsia" w:hAnsi="仿宋" w:eastAsia="仿宋"/>
          <w:sz w:val="30"/>
          <w:szCs w:val="30"/>
        </w:rPr>
        <w:t>推进政府职能转变，创新行政管理方式。建立和完善科学决策机制，完善决策程序，健全决策制度，强化发展战略和规划的导向作用。健全经济形势分析研判机制，建立健全政策分析评估和统筹协调机制。健全宏观经济监控制度、指标体系、任务目标落实责任机制，建立健全市场监管机制和政策调整完善机制。</w:t>
      </w:r>
      <w:r>
        <w:rPr>
          <w:rFonts w:hint="eastAsia" w:hAnsi="仿宋" w:eastAsia="仿宋" w:cs="仿宋"/>
          <w:sz w:val="30"/>
          <w:szCs w:val="30"/>
        </w:rPr>
        <w:t>完善党务、政务办事公开制度，推进决策公开、管理公开、服务公开、结果公开。</w:t>
      </w:r>
    </w:p>
    <w:p>
      <w:pPr>
        <w:pStyle w:val="27"/>
        <w:spacing w:before="0" w:after="0" w:line="440" w:lineRule="exact"/>
        <w:rPr>
          <w:sz w:val="30"/>
          <w:szCs w:val="30"/>
        </w:rPr>
      </w:pPr>
      <w:bookmarkStart w:id="33" w:name="_Toc456552696"/>
      <w:bookmarkStart w:id="34" w:name="_Toc18009"/>
      <w:bookmarkStart w:id="35" w:name="_Toc456447939"/>
      <w:r>
        <w:rPr>
          <w:rFonts w:hint="eastAsia"/>
          <w:sz w:val="30"/>
          <w:szCs w:val="30"/>
        </w:rPr>
        <w:t>（二）深化行政审批制度改革</w:t>
      </w:r>
      <w:bookmarkEnd w:id="33"/>
      <w:bookmarkEnd w:id="34"/>
      <w:bookmarkEnd w:id="35"/>
    </w:p>
    <w:p>
      <w:pPr>
        <w:spacing w:line="440" w:lineRule="exact"/>
        <w:ind w:firstLine="641"/>
        <w:rPr>
          <w:rFonts w:eastAsia="仿宋"/>
          <w:sz w:val="30"/>
          <w:szCs w:val="30"/>
        </w:rPr>
      </w:pPr>
      <w:r>
        <w:rPr>
          <w:rFonts w:hint="eastAsia" w:hAnsi="仿宋" w:eastAsia="仿宋"/>
          <w:sz w:val="30"/>
          <w:szCs w:val="30"/>
        </w:rPr>
        <w:t>加快推动政府部门行政审批职能向事中事后监管转变。推进政务服务中心建设，建立市、县、镇、村四级联动的政务服务体系。实行行政审批权相对集中改革。深入推进简政放权，强化行政审批</w:t>
      </w:r>
      <w:r>
        <w:rPr>
          <w:rFonts w:hint="eastAsia" w:eastAsia="仿宋"/>
          <w:sz w:val="30"/>
          <w:szCs w:val="30"/>
        </w:rPr>
        <w:t>“</w:t>
      </w:r>
      <w:r>
        <w:rPr>
          <w:rFonts w:hint="eastAsia" w:hAnsi="仿宋" w:eastAsia="仿宋"/>
          <w:sz w:val="30"/>
          <w:szCs w:val="30"/>
        </w:rPr>
        <w:t>接放管服</w:t>
      </w:r>
      <w:r>
        <w:rPr>
          <w:rFonts w:hint="eastAsia" w:eastAsia="仿宋"/>
          <w:sz w:val="30"/>
          <w:szCs w:val="30"/>
        </w:rPr>
        <w:t>”</w:t>
      </w:r>
      <w:r>
        <w:rPr>
          <w:rFonts w:hint="eastAsia" w:hAnsi="仿宋" w:eastAsia="仿宋"/>
          <w:sz w:val="30"/>
          <w:szCs w:val="30"/>
        </w:rPr>
        <w:t>，放管结合、优化服务，提高行政效能，实现行政审批</w:t>
      </w:r>
      <w:r>
        <w:rPr>
          <w:rFonts w:hint="eastAsia" w:eastAsia="仿宋"/>
          <w:sz w:val="30"/>
          <w:szCs w:val="30"/>
        </w:rPr>
        <w:t>“</w:t>
      </w:r>
      <w:r>
        <w:rPr>
          <w:rFonts w:hint="eastAsia" w:hAnsi="仿宋" w:eastAsia="仿宋"/>
          <w:sz w:val="30"/>
          <w:szCs w:val="30"/>
        </w:rPr>
        <w:t>项目更少、放权更多、标准更明、材料更简、流程更优、效率更高、服务更好、责任更清、监管更严</w:t>
      </w:r>
      <w:r>
        <w:rPr>
          <w:rFonts w:hint="eastAsia" w:eastAsia="仿宋"/>
          <w:sz w:val="30"/>
          <w:szCs w:val="30"/>
        </w:rPr>
        <w:t>”</w:t>
      </w:r>
      <w:r>
        <w:rPr>
          <w:rFonts w:hint="eastAsia" w:hAnsi="仿宋" w:eastAsia="仿宋"/>
          <w:sz w:val="30"/>
          <w:szCs w:val="30"/>
        </w:rPr>
        <w:t>。建立行政审批事项目录管理制度，编制并公开政府部门权力运行流程，进一步完善权力清单、责任清单、负面清单管理模式，划定政府与市场、社会的权责边界。建立权力清单和责任清单动态调整机制和监督检查机制。全面清理非行政审批事项，编制并公布行政审批中介服务事项清单。推进</w:t>
      </w:r>
      <w:r>
        <w:rPr>
          <w:rFonts w:hint="eastAsia" w:eastAsia="仿宋"/>
          <w:sz w:val="30"/>
          <w:szCs w:val="30"/>
        </w:rPr>
        <w:t>“</w:t>
      </w:r>
      <w:r>
        <w:rPr>
          <w:rFonts w:hint="eastAsia" w:hAnsi="仿宋" w:eastAsia="仿宋"/>
          <w:sz w:val="30"/>
          <w:szCs w:val="30"/>
        </w:rPr>
        <w:t>网上政府</w:t>
      </w:r>
      <w:r>
        <w:rPr>
          <w:rFonts w:hint="eastAsia" w:eastAsia="仿宋"/>
          <w:sz w:val="30"/>
          <w:szCs w:val="30"/>
        </w:rPr>
        <w:t>”</w:t>
      </w:r>
      <w:r>
        <w:rPr>
          <w:rFonts w:hint="eastAsia" w:hAnsi="仿宋" w:eastAsia="仿宋"/>
          <w:sz w:val="30"/>
          <w:szCs w:val="30"/>
        </w:rPr>
        <w:t>建设，推动</w:t>
      </w:r>
      <w:r>
        <w:rPr>
          <w:rFonts w:hint="eastAsia" w:eastAsia="仿宋"/>
          <w:sz w:val="30"/>
          <w:szCs w:val="30"/>
        </w:rPr>
        <w:t>“</w:t>
      </w:r>
      <w:r>
        <w:rPr>
          <w:rFonts w:hint="eastAsia" w:hAnsi="仿宋" w:eastAsia="仿宋"/>
          <w:sz w:val="30"/>
          <w:szCs w:val="30"/>
        </w:rPr>
        <w:t>互联网＋政务</w:t>
      </w:r>
      <w:r>
        <w:rPr>
          <w:rFonts w:hint="eastAsia" w:eastAsia="仿宋"/>
          <w:sz w:val="30"/>
          <w:szCs w:val="30"/>
        </w:rPr>
        <w:t>”</w:t>
      </w:r>
      <w:r>
        <w:rPr>
          <w:rFonts w:hint="eastAsia" w:hAnsi="仿宋" w:eastAsia="仿宋"/>
          <w:sz w:val="30"/>
          <w:szCs w:val="30"/>
        </w:rPr>
        <w:t>工作创新，推行网上审批、并联审批。推进统一规范的公共资源交易平台建设。深化商事制度改革，实施工商登记制度便利化改革，实行</w:t>
      </w:r>
      <w:r>
        <w:rPr>
          <w:rFonts w:hint="eastAsia" w:eastAsia="仿宋"/>
          <w:sz w:val="30"/>
          <w:szCs w:val="30"/>
        </w:rPr>
        <w:t>“</w:t>
      </w:r>
      <w:r>
        <w:rPr>
          <w:rFonts w:hint="eastAsia" w:hAnsi="仿宋" w:eastAsia="仿宋"/>
          <w:sz w:val="30"/>
          <w:szCs w:val="30"/>
        </w:rPr>
        <w:t>多证合一</w:t>
      </w:r>
      <w:r>
        <w:rPr>
          <w:rFonts w:hint="eastAsia" w:eastAsia="仿宋"/>
          <w:sz w:val="30"/>
          <w:szCs w:val="30"/>
        </w:rPr>
        <w:t>”</w:t>
      </w:r>
      <w:r>
        <w:rPr>
          <w:rFonts w:hint="eastAsia" w:hAnsi="仿宋" w:eastAsia="仿宋"/>
          <w:sz w:val="30"/>
          <w:szCs w:val="30"/>
        </w:rPr>
        <w:t>、</w:t>
      </w:r>
      <w:r>
        <w:rPr>
          <w:rFonts w:hint="eastAsia" w:eastAsia="仿宋"/>
          <w:sz w:val="30"/>
          <w:szCs w:val="30"/>
        </w:rPr>
        <w:t>“</w:t>
      </w:r>
      <w:r>
        <w:rPr>
          <w:rFonts w:hint="eastAsia" w:hAnsi="仿宋" w:eastAsia="仿宋"/>
          <w:sz w:val="30"/>
          <w:szCs w:val="30"/>
        </w:rPr>
        <w:t>先照后证</w:t>
      </w:r>
      <w:r>
        <w:rPr>
          <w:rFonts w:hint="eastAsia" w:eastAsia="仿宋"/>
          <w:sz w:val="30"/>
          <w:szCs w:val="30"/>
        </w:rPr>
        <w:t>”</w:t>
      </w:r>
      <w:r>
        <w:rPr>
          <w:rFonts w:hint="eastAsia" w:hAnsi="仿宋" w:eastAsia="仿宋"/>
          <w:sz w:val="30"/>
          <w:szCs w:val="30"/>
        </w:rPr>
        <w:t>等便利制度。完善电子营业执照和全程电子化登记管理，实现网上申请和网上发照。加强市场信用监管，完善事中事后监管机制，完善市场主体信用体系建设。</w:t>
      </w:r>
    </w:p>
    <w:p>
      <w:pPr>
        <w:spacing w:line="440" w:lineRule="exact"/>
        <w:ind w:firstLine="641"/>
        <w:rPr>
          <w:rFonts w:eastAsia="仿宋"/>
          <w:sz w:val="30"/>
          <w:szCs w:val="30"/>
        </w:rPr>
      </w:pPr>
    </w:p>
    <w:p>
      <w:pPr>
        <w:spacing w:line="440" w:lineRule="exact"/>
        <w:ind w:firstLine="641"/>
        <w:jc w:val="center"/>
        <w:rPr>
          <w:rFonts w:eastAsia="仿宋"/>
          <w:b/>
          <w:sz w:val="30"/>
          <w:szCs w:val="30"/>
        </w:rPr>
      </w:pPr>
      <w:r>
        <w:rPr>
          <w:rFonts w:hint="eastAsia" w:hAnsi="仿宋" w:eastAsia="仿宋"/>
          <w:b/>
          <w:sz w:val="30"/>
          <w:szCs w:val="30"/>
        </w:rPr>
        <w:t>专栏</w:t>
      </w:r>
      <w:r>
        <w:rPr>
          <w:rFonts w:eastAsia="仿宋"/>
          <w:b/>
          <w:sz w:val="30"/>
          <w:szCs w:val="30"/>
        </w:rPr>
        <w:t>1</w:t>
      </w:r>
      <w:r>
        <w:rPr>
          <w:rFonts w:hint="eastAsia" w:hAnsi="仿宋" w:eastAsia="仿宋"/>
          <w:b/>
          <w:sz w:val="30"/>
          <w:szCs w:val="30"/>
        </w:rPr>
        <w:t>：</w:t>
      </w:r>
      <w:r>
        <w:rPr>
          <w:rFonts w:hint="eastAsia"/>
          <w:b/>
          <w:sz w:val="30"/>
          <w:szCs w:val="30"/>
        </w:rPr>
        <w:t>行政审批制度重点改革项目</w:t>
      </w:r>
    </w:p>
    <w:tbl>
      <w:tblPr>
        <w:tblStyle w:val="16"/>
        <w:tblW w:w="9594" w:type="dxa"/>
        <w:tblInd w:w="95" w:type="dxa"/>
        <w:tblLayout w:type="fixed"/>
        <w:tblCellMar>
          <w:top w:w="0" w:type="dxa"/>
          <w:left w:w="108" w:type="dxa"/>
          <w:bottom w:w="0" w:type="dxa"/>
          <w:right w:w="108" w:type="dxa"/>
        </w:tblCellMar>
      </w:tblPr>
      <w:tblGrid>
        <w:gridCol w:w="1057"/>
        <w:gridCol w:w="2867"/>
        <w:gridCol w:w="3035"/>
        <w:gridCol w:w="2635"/>
      </w:tblGrid>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w:t>
            </w:r>
          </w:p>
          <w:p>
            <w:pPr>
              <w:widowControl/>
              <w:jc w:val="center"/>
              <w:rPr>
                <w:rFonts w:cs="宋体"/>
                <w:b/>
                <w:kern w:val="0"/>
                <w:sz w:val="24"/>
              </w:rPr>
            </w:pPr>
            <w:r>
              <w:rPr>
                <w:rFonts w:hint="eastAsia" w:hAnsi="宋体" w:cs="宋体"/>
                <w:b/>
                <w:kern w:val="0"/>
                <w:sz w:val="24"/>
              </w:rPr>
              <w:t>项目</w:t>
            </w:r>
          </w:p>
        </w:tc>
        <w:tc>
          <w:tcPr>
            <w:tcW w:w="2867"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改革内容</w:t>
            </w:r>
          </w:p>
        </w:tc>
        <w:tc>
          <w:tcPr>
            <w:tcW w:w="3035"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改革路径</w:t>
            </w:r>
          </w:p>
        </w:tc>
        <w:tc>
          <w:tcPr>
            <w:tcW w:w="2635"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主要成果</w:t>
            </w:r>
          </w:p>
        </w:tc>
      </w:tr>
      <w:tr>
        <w:tblPrEx>
          <w:tblLayout w:type="fixed"/>
          <w:tblCellMar>
            <w:top w:w="0" w:type="dxa"/>
            <w:left w:w="108" w:type="dxa"/>
            <w:bottom w:w="0" w:type="dxa"/>
            <w:right w:w="108" w:type="dxa"/>
          </w:tblCellMar>
        </w:tblPrEx>
        <w:trPr>
          <w:trHeight w:val="2752"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行政审批制度改革</w:t>
            </w:r>
          </w:p>
        </w:tc>
        <w:tc>
          <w:tcPr>
            <w:tcW w:w="2867"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大幅度减少行政审批事项，优化审批流程。建立权力清单制度。加强行政审批绩效管理，创新审批制度和审批方式，不断提高行政审批服务水平。</w:t>
            </w:r>
          </w:p>
        </w:tc>
        <w:tc>
          <w:tcPr>
            <w:tcW w:w="3035"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推进我市简政放权、放管结合和转变政府职能工作。推进政务服务中心建设，与自治区联动建立四级联动的政务服务体系，并逐步向村和社区延伸。公开各级各部门的行政审批事项，全面清理非行政审批事项。加强桂林电子政务网络建设，推行网上审批、并联审批和服务质量公开承诺等做法。</w:t>
            </w:r>
          </w:p>
        </w:tc>
        <w:tc>
          <w:tcPr>
            <w:tcW w:w="2635"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（一）发布各部门编制权力清单、责任清单及权力运行流程图。</w:t>
            </w:r>
          </w:p>
          <w:p>
            <w:pPr>
              <w:widowControl/>
              <w:rPr>
                <w:rFonts w:cs="宋体"/>
                <w:kern w:val="0"/>
                <w:sz w:val="22"/>
                <w:szCs w:val="22"/>
              </w:rPr>
            </w:pPr>
            <w:r>
              <w:rPr>
                <w:rFonts w:hint="eastAsia" w:hAnsi="宋体" w:cs="宋体"/>
                <w:kern w:val="0"/>
                <w:sz w:val="22"/>
                <w:szCs w:val="22"/>
              </w:rPr>
              <w:t>（二）出台进一步完善桂林政务公开制度实施意见。</w:t>
            </w:r>
          </w:p>
          <w:p>
            <w:pPr>
              <w:widowControl/>
              <w:rPr>
                <w:rFonts w:cs="宋体"/>
                <w:kern w:val="0"/>
                <w:sz w:val="22"/>
                <w:szCs w:val="22"/>
              </w:rPr>
            </w:pPr>
            <w:r>
              <w:rPr>
                <w:rFonts w:hint="eastAsia" w:hAnsi="宋体" w:cs="宋体"/>
                <w:kern w:val="0"/>
                <w:sz w:val="22"/>
                <w:szCs w:val="22"/>
              </w:rPr>
              <w:t>（三）修订桂林政府信息公开相关配套制度。</w:t>
            </w:r>
          </w:p>
        </w:tc>
      </w:tr>
      <w:tr>
        <w:tblPrEx>
          <w:tblLayout w:type="fixed"/>
          <w:tblCellMar>
            <w:top w:w="0" w:type="dxa"/>
            <w:left w:w="108" w:type="dxa"/>
            <w:bottom w:w="0" w:type="dxa"/>
            <w:right w:w="108" w:type="dxa"/>
          </w:tblCellMar>
        </w:tblPrEx>
        <w:trPr>
          <w:trHeight w:val="1076"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权力清单制度和政务公开制度改革</w:t>
            </w:r>
          </w:p>
        </w:tc>
        <w:tc>
          <w:tcPr>
            <w:tcW w:w="2867"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推进我市各级政府及其工作部门权力清单制度，依法公开权力运行流程。完善党、政务和各领域办事公开制度，推进决策公开、管理公开、服务公开、结果公开。</w:t>
            </w:r>
          </w:p>
        </w:tc>
        <w:tc>
          <w:tcPr>
            <w:tcW w:w="3035"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全面清理政府权力清单制度，科学配置行政权力，明确政府部门责任，将行政权力和责任事项以清单形式向社会公布，接受社会监督。全面推进党的基层组织党务公开，推动政务公开和各领域办事制度和工作机制建设。</w:t>
            </w:r>
          </w:p>
        </w:tc>
        <w:tc>
          <w:tcPr>
            <w:tcW w:w="2635"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（一）发布各部门编制权力清单、责任清单及权力运行流程图。</w:t>
            </w:r>
          </w:p>
          <w:p>
            <w:pPr>
              <w:widowControl/>
              <w:rPr>
                <w:rFonts w:cs="宋体"/>
                <w:kern w:val="0"/>
                <w:sz w:val="22"/>
                <w:szCs w:val="22"/>
              </w:rPr>
            </w:pPr>
            <w:r>
              <w:rPr>
                <w:rFonts w:hint="eastAsia" w:hAnsi="宋体" w:cs="宋体"/>
                <w:kern w:val="0"/>
                <w:sz w:val="22"/>
                <w:szCs w:val="22"/>
              </w:rPr>
              <w:t>（二）出台进一步完善桂林政务公开制度实施意见。</w:t>
            </w:r>
          </w:p>
          <w:p>
            <w:pPr>
              <w:widowControl/>
              <w:rPr>
                <w:rFonts w:cs="宋体"/>
                <w:kern w:val="0"/>
                <w:sz w:val="22"/>
                <w:szCs w:val="22"/>
              </w:rPr>
            </w:pPr>
            <w:r>
              <w:rPr>
                <w:rFonts w:hint="eastAsia" w:hAnsi="宋体" w:cs="宋体"/>
                <w:kern w:val="0"/>
                <w:sz w:val="22"/>
                <w:szCs w:val="22"/>
              </w:rPr>
              <w:t>（三）修订桂林政府信息公开相关配套制度。</w:t>
            </w:r>
          </w:p>
        </w:tc>
      </w:tr>
      <w:tr>
        <w:tblPrEx>
          <w:tblLayout w:type="fixed"/>
          <w:tblCellMar>
            <w:top w:w="0" w:type="dxa"/>
            <w:left w:w="108" w:type="dxa"/>
            <w:bottom w:w="0" w:type="dxa"/>
            <w:right w:w="108" w:type="dxa"/>
          </w:tblCellMar>
        </w:tblPrEx>
        <w:trPr>
          <w:trHeight w:val="1076"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商事制度改革</w:t>
            </w:r>
          </w:p>
        </w:tc>
        <w:tc>
          <w:tcPr>
            <w:tcW w:w="2867"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落实国家推进工商注册制度便利化的各项改革措施。推行电子执照和全程电子化登记管理。</w:t>
            </w:r>
          </w:p>
        </w:tc>
        <w:tc>
          <w:tcPr>
            <w:tcW w:w="3035"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放宽准入与严格监管的举措。削减资质认定项目，由先证后照改为先照后证，把注册资本实缴登记制度改为认缴登记制。实行推进工商注册制度便利化。推进企业简易注销改革，推进企业名称登记管理改革。</w:t>
            </w:r>
          </w:p>
        </w:tc>
        <w:tc>
          <w:tcPr>
            <w:tcW w:w="2635"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（一）实行工商营业执照、组织机构代码证、税务登记证、社会保险登记证和统计证</w:t>
            </w:r>
            <w:r>
              <w:rPr>
                <w:rFonts w:hint="eastAsia" w:cs="宋体"/>
                <w:kern w:val="0"/>
                <w:sz w:val="22"/>
                <w:szCs w:val="22"/>
              </w:rPr>
              <w:t>“</w:t>
            </w:r>
            <w:r>
              <w:rPr>
                <w:rFonts w:hint="eastAsia" w:hAnsi="宋体" w:cs="宋体"/>
                <w:kern w:val="0"/>
                <w:sz w:val="22"/>
                <w:szCs w:val="22"/>
              </w:rPr>
              <w:t>五证合一</w:t>
            </w:r>
            <w:r>
              <w:rPr>
                <w:rFonts w:hint="eastAsia" w:cs="宋体"/>
                <w:kern w:val="0"/>
                <w:sz w:val="22"/>
                <w:szCs w:val="22"/>
              </w:rPr>
              <w:t>”</w:t>
            </w:r>
            <w:r>
              <w:rPr>
                <w:rFonts w:hint="eastAsia" w:hAnsi="宋体" w:cs="宋体"/>
                <w:kern w:val="0"/>
                <w:sz w:val="22"/>
                <w:szCs w:val="22"/>
              </w:rPr>
              <w:t>登记制度。</w:t>
            </w:r>
          </w:p>
          <w:p>
            <w:pPr>
              <w:widowControl/>
              <w:rPr>
                <w:rFonts w:cs="宋体"/>
                <w:kern w:val="0"/>
                <w:sz w:val="22"/>
                <w:szCs w:val="22"/>
              </w:rPr>
            </w:pPr>
            <w:r>
              <w:rPr>
                <w:rFonts w:hint="eastAsia" w:hAnsi="宋体" w:cs="宋体"/>
                <w:kern w:val="0"/>
                <w:sz w:val="22"/>
                <w:szCs w:val="22"/>
              </w:rPr>
              <w:t>（二）制定推进电子营业执照和全程电子化登记管理改革实施方案。</w:t>
            </w:r>
          </w:p>
        </w:tc>
      </w:tr>
    </w:tbl>
    <w:p>
      <w:pPr>
        <w:spacing w:line="440" w:lineRule="exact"/>
        <w:ind w:firstLine="641"/>
        <w:rPr>
          <w:rFonts w:eastAsia="仿宋" w:cs="仿宋"/>
          <w:sz w:val="30"/>
          <w:szCs w:val="30"/>
        </w:rPr>
      </w:pPr>
    </w:p>
    <w:p>
      <w:pPr>
        <w:pStyle w:val="27"/>
        <w:spacing w:before="0" w:after="0" w:line="440" w:lineRule="exact"/>
        <w:ind w:firstLine="590" w:firstLineChars="196"/>
        <w:rPr>
          <w:sz w:val="30"/>
          <w:szCs w:val="30"/>
        </w:rPr>
      </w:pPr>
      <w:bookmarkStart w:id="36" w:name="_Toc456552697"/>
      <w:bookmarkStart w:id="37" w:name="_Toc8369"/>
      <w:bookmarkStart w:id="38" w:name="_Toc456447940"/>
      <w:r>
        <w:rPr>
          <w:rFonts w:hint="eastAsia"/>
          <w:sz w:val="30"/>
          <w:szCs w:val="30"/>
        </w:rPr>
        <w:t>（三）深化财税体制改革</w:t>
      </w:r>
      <w:bookmarkEnd w:id="36"/>
      <w:bookmarkEnd w:id="37"/>
      <w:bookmarkEnd w:id="38"/>
    </w:p>
    <w:p>
      <w:pPr>
        <w:spacing w:line="440" w:lineRule="exact"/>
        <w:ind w:firstLine="590" w:firstLineChars="196"/>
        <w:rPr>
          <w:rFonts w:eastAsia="仿宋_GB2312"/>
          <w:sz w:val="30"/>
          <w:szCs w:val="30"/>
        </w:rPr>
      </w:pPr>
      <w:r>
        <w:rPr>
          <w:rFonts w:hint="eastAsia" w:eastAsia="仿宋"/>
          <w:b/>
          <w:bCs/>
          <w:sz w:val="30"/>
          <w:szCs w:val="30"/>
        </w:rPr>
        <w:t>实施预算管理制度改革。</w:t>
      </w:r>
      <w:r>
        <w:rPr>
          <w:rFonts w:hint="eastAsia" w:eastAsia="仿宋"/>
          <w:sz w:val="30"/>
          <w:szCs w:val="30"/>
        </w:rPr>
        <w:t>完善全口径预算管理制度，建立健全规范透明的预算制度，将全部的政府性资金纳入预算管理，推进一般公共财政预算、国有资本经营预算和政府性基金预算之间的有效衔接和统筹，建立各类政府资金统筹运用机制。深化预算编制改革，进一步细化预算编制，建立完善预算绩效评价制度，推进财政预决算公开</w:t>
      </w:r>
      <w:r>
        <w:rPr>
          <w:rFonts w:eastAsia="仿宋"/>
          <w:sz w:val="30"/>
          <w:szCs w:val="30"/>
        </w:rPr>
        <w:t>,</w:t>
      </w:r>
      <w:r>
        <w:rPr>
          <w:rFonts w:hint="eastAsia" w:eastAsia="仿宋"/>
          <w:sz w:val="30"/>
          <w:szCs w:val="30"/>
        </w:rPr>
        <w:t>推进财税优惠政策等财政政策公开。完善市本级国有资本经营预算制度，提高国有资本收益上缴比例。加强社会保险基金预算管理，实现社会保险基金制度的可持续运行。编制中期财政规划，建立跨年度预算平衡机制。加强税源规划，建立大型财源的培育机制。</w:t>
      </w:r>
    </w:p>
    <w:p>
      <w:pPr>
        <w:spacing w:line="440" w:lineRule="exact"/>
        <w:ind w:firstLine="640"/>
        <w:rPr>
          <w:rFonts w:eastAsia="仿宋"/>
          <w:sz w:val="30"/>
          <w:szCs w:val="30"/>
        </w:rPr>
      </w:pPr>
      <w:r>
        <w:rPr>
          <w:rFonts w:hint="eastAsia" w:eastAsia="仿宋"/>
          <w:b/>
          <w:bCs/>
          <w:sz w:val="30"/>
          <w:szCs w:val="30"/>
        </w:rPr>
        <w:t>完善财政体制。</w:t>
      </w:r>
      <w:r>
        <w:rPr>
          <w:rFonts w:hint="eastAsia" w:eastAsia="仿宋"/>
          <w:sz w:val="30"/>
          <w:szCs w:val="30"/>
        </w:rPr>
        <w:t>调整市辖区财政关系，明确市本级与城区的支出责任，建立事权和支出责任相适应的财政体制，按上级要求积极推进各项税制改革。完善市县区间税收分配的机制。</w:t>
      </w:r>
    </w:p>
    <w:p>
      <w:pPr>
        <w:spacing w:line="440" w:lineRule="exact"/>
        <w:ind w:firstLine="640"/>
        <w:rPr>
          <w:rFonts w:eastAsia="仿宋"/>
          <w:sz w:val="30"/>
          <w:szCs w:val="30"/>
        </w:rPr>
      </w:pPr>
      <w:r>
        <w:rPr>
          <w:rFonts w:hint="eastAsia" w:eastAsia="仿宋"/>
          <w:b/>
          <w:sz w:val="30"/>
          <w:szCs w:val="30"/>
        </w:rPr>
        <w:t>完善政府债务管理机制</w:t>
      </w:r>
      <w:r>
        <w:rPr>
          <w:rFonts w:hint="eastAsia" w:eastAsia="仿宋"/>
          <w:sz w:val="30"/>
          <w:szCs w:val="30"/>
        </w:rPr>
        <w:t>。建立</w:t>
      </w:r>
      <w:r>
        <w:rPr>
          <w:rFonts w:hint="eastAsia" w:hAnsi="仿宋" w:eastAsia="仿宋" w:cs="仿宋"/>
          <w:sz w:val="30"/>
          <w:szCs w:val="30"/>
        </w:rPr>
        <w:t>政府资产报告制度、政府性债务统计报告制度，建立健全权责发生制的政府综合财务报告制度。将政府债务</w:t>
      </w:r>
      <w:r>
        <w:rPr>
          <w:rFonts w:hint="eastAsia" w:eastAsia="仿宋"/>
          <w:sz w:val="30"/>
          <w:szCs w:val="30"/>
        </w:rPr>
        <w:t>纳入预算管理，建立健全考核问责机制和信用评级机制，</w:t>
      </w:r>
      <w:r>
        <w:rPr>
          <w:rFonts w:hint="eastAsia" w:hAnsi="仿宋" w:eastAsia="仿宋" w:cs="仿宋"/>
          <w:sz w:val="30"/>
          <w:szCs w:val="30"/>
        </w:rPr>
        <w:t>制定政府中长期债务风险化解规划和应急处置预案，</w:t>
      </w:r>
      <w:r>
        <w:rPr>
          <w:rFonts w:hint="eastAsia" w:eastAsia="仿宋"/>
          <w:sz w:val="30"/>
          <w:szCs w:val="30"/>
        </w:rPr>
        <w:t>完善债务规模控制、风险预警机制，实行风险预警提示通报制度。推行使用政府与社会资本合作（</w:t>
      </w:r>
      <w:r>
        <w:rPr>
          <w:rFonts w:eastAsia="仿宋"/>
          <w:sz w:val="30"/>
          <w:szCs w:val="30"/>
        </w:rPr>
        <w:t>PPP</w:t>
      </w:r>
      <w:r>
        <w:rPr>
          <w:rFonts w:hint="eastAsia" w:eastAsia="仿宋"/>
          <w:sz w:val="30"/>
          <w:szCs w:val="30"/>
        </w:rPr>
        <w:t>）模式。明确和强化财政部门政府性债务归口管理职能，充实政府性债务管理力量，建立各职能部门沟通协调机制，形成管理合力。逐步建立以政府债券为主体的政府举债融资机制，剥离融资平台公司政府融资职能，对其存量债务分类进行处置。</w:t>
      </w:r>
    </w:p>
    <w:p>
      <w:pPr>
        <w:spacing w:line="440" w:lineRule="exact"/>
        <w:ind w:firstLine="640"/>
        <w:rPr>
          <w:rFonts w:eastAsia="仿宋"/>
          <w:sz w:val="30"/>
          <w:szCs w:val="30"/>
        </w:rPr>
      </w:pPr>
    </w:p>
    <w:p>
      <w:pPr>
        <w:spacing w:line="440" w:lineRule="exact"/>
        <w:ind w:firstLine="641"/>
        <w:jc w:val="center"/>
        <w:rPr>
          <w:rFonts w:eastAsia="仿宋"/>
          <w:b/>
          <w:sz w:val="30"/>
          <w:szCs w:val="30"/>
        </w:rPr>
      </w:pPr>
      <w:r>
        <w:rPr>
          <w:rFonts w:hint="eastAsia" w:hAnsi="仿宋" w:eastAsia="仿宋"/>
          <w:b/>
          <w:sz w:val="30"/>
          <w:szCs w:val="30"/>
        </w:rPr>
        <w:t>专栏</w:t>
      </w:r>
      <w:r>
        <w:rPr>
          <w:rFonts w:eastAsia="仿宋"/>
          <w:b/>
          <w:sz w:val="30"/>
          <w:szCs w:val="30"/>
        </w:rPr>
        <w:t>2</w:t>
      </w:r>
      <w:r>
        <w:rPr>
          <w:rFonts w:hint="eastAsia" w:hAnsi="仿宋" w:eastAsia="仿宋"/>
          <w:b/>
          <w:sz w:val="30"/>
          <w:szCs w:val="30"/>
        </w:rPr>
        <w:t>：</w:t>
      </w:r>
      <w:r>
        <w:rPr>
          <w:rFonts w:hint="eastAsia"/>
          <w:b/>
          <w:sz w:val="30"/>
          <w:szCs w:val="30"/>
        </w:rPr>
        <w:t>财政体制重点改革项目</w:t>
      </w:r>
    </w:p>
    <w:tbl>
      <w:tblPr>
        <w:tblStyle w:val="16"/>
        <w:tblW w:w="9594" w:type="dxa"/>
        <w:tblInd w:w="95" w:type="dxa"/>
        <w:tblLayout w:type="fixed"/>
        <w:tblCellMar>
          <w:top w:w="0" w:type="dxa"/>
          <w:left w:w="108" w:type="dxa"/>
          <w:bottom w:w="0" w:type="dxa"/>
          <w:right w:w="108" w:type="dxa"/>
        </w:tblCellMar>
      </w:tblPr>
      <w:tblGrid>
        <w:gridCol w:w="1057"/>
        <w:gridCol w:w="2642"/>
        <w:gridCol w:w="3544"/>
        <w:gridCol w:w="2351"/>
      </w:tblGrid>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w:t>
            </w:r>
          </w:p>
          <w:p>
            <w:pPr>
              <w:widowControl/>
              <w:jc w:val="center"/>
              <w:rPr>
                <w:rFonts w:cs="宋体"/>
                <w:b/>
                <w:kern w:val="0"/>
                <w:sz w:val="24"/>
              </w:rPr>
            </w:pPr>
            <w:r>
              <w:rPr>
                <w:rFonts w:hint="eastAsia" w:hAnsi="宋体" w:cs="宋体"/>
                <w:b/>
                <w:kern w:val="0"/>
                <w:sz w:val="24"/>
              </w:rPr>
              <w:t>项目</w:t>
            </w:r>
          </w:p>
        </w:tc>
        <w:tc>
          <w:tcPr>
            <w:tcW w:w="264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改革内容</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主要成果</w:t>
            </w:r>
          </w:p>
        </w:tc>
      </w:tr>
      <w:tr>
        <w:tblPrEx>
          <w:tblLayout w:type="fixed"/>
          <w:tblCellMar>
            <w:top w:w="0" w:type="dxa"/>
            <w:left w:w="108" w:type="dxa"/>
            <w:bottom w:w="0" w:type="dxa"/>
            <w:right w:w="108" w:type="dxa"/>
          </w:tblCellMar>
        </w:tblPrEx>
        <w:trPr>
          <w:trHeight w:val="1275"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财政预算制度改革</w:t>
            </w:r>
          </w:p>
        </w:tc>
        <w:tc>
          <w:tcPr>
            <w:tcW w:w="26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构建和完善覆盖政府所有收支的预算体系，加快形成公共预算体系。建立跨年度预算平衡机制，健全规范合理的债务管理及风险预警机制。稳步推进国库管理、政府采购监督和非税收入管理改革。</w:t>
            </w:r>
          </w:p>
        </w:tc>
        <w:tc>
          <w:tcPr>
            <w:tcW w:w="3544"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实施预算编制改革，细化预算草案。建立跨年度预算平衡机制。推进财政预决算公开，完善市本级国有资本经营预算制度，提高国有资本收益上缴比例，进一步加大国有资本经营预算和一般公共预算的统筹力度。将政府债务纳入预算管理，建立政府性债务预警机制。编制权责发生制政府综合财务报告。深化国库集中支付电子化管理改革和公务卡强制结，建立健全动态预算执行监控体系。推进非税收入收缴电子化管理改革。</w:t>
            </w:r>
          </w:p>
        </w:tc>
        <w:tc>
          <w:tcPr>
            <w:tcW w:w="235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（一）制定市政府债务风险评估和预警办法。</w:t>
            </w:r>
          </w:p>
          <w:p>
            <w:pPr>
              <w:widowControl/>
              <w:rPr>
                <w:rFonts w:cs="宋体"/>
                <w:kern w:val="0"/>
                <w:sz w:val="22"/>
                <w:szCs w:val="22"/>
              </w:rPr>
            </w:pPr>
            <w:r>
              <w:rPr>
                <w:rFonts w:hint="eastAsia" w:hAnsi="宋体" w:cs="宋体"/>
                <w:kern w:val="0"/>
                <w:sz w:val="22"/>
                <w:szCs w:val="22"/>
              </w:rPr>
              <w:t>（二）制定中期财政规划方案。</w:t>
            </w:r>
          </w:p>
          <w:p>
            <w:pPr>
              <w:widowControl/>
              <w:rPr>
                <w:rFonts w:cs="宋体"/>
                <w:kern w:val="0"/>
                <w:sz w:val="22"/>
                <w:szCs w:val="22"/>
              </w:rPr>
            </w:pPr>
            <w:r>
              <w:rPr>
                <w:rFonts w:hint="eastAsia" w:hAnsi="宋体" w:cs="宋体"/>
                <w:kern w:val="0"/>
                <w:sz w:val="22"/>
                <w:szCs w:val="22"/>
              </w:rPr>
              <w:t>（三）制定财政信息公开实施方案。</w:t>
            </w:r>
          </w:p>
          <w:p>
            <w:pPr>
              <w:widowControl/>
              <w:rPr>
                <w:rFonts w:cs="宋体"/>
                <w:kern w:val="0"/>
                <w:sz w:val="22"/>
                <w:szCs w:val="22"/>
              </w:rPr>
            </w:pPr>
            <w:r>
              <w:rPr>
                <w:rFonts w:hint="eastAsia" w:hAnsi="宋体" w:cs="宋体"/>
                <w:kern w:val="0"/>
                <w:sz w:val="22"/>
                <w:szCs w:val="22"/>
              </w:rPr>
              <w:t>（四）提高国有独资企业收益上缴比例，提高国有资本收益划转一般公共预算的比例。</w:t>
            </w:r>
          </w:p>
        </w:tc>
      </w:tr>
      <w:tr>
        <w:tblPrEx>
          <w:tblLayout w:type="fixed"/>
          <w:tblCellMar>
            <w:top w:w="0" w:type="dxa"/>
            <w:left w:w="108" w:type="dxa"/>
            <w:bottom w:w="0" w:type="dxa"/>
            <w:right w:w="108" w:type="dxa"/>
          </w:tblCellMar>
        </w:tblPrEx>
        <w:trPr>
          <w:trHeight w:val="1076"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落实税制改革</w:t>
            </w:r>
          </w:p>
        </w:tc>
        <w:tc>
          <w:tcPr>
            <w:tcW w:w="26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积极推进资源税改革，落实营业税改增值税改革。</w:t>
            </w:r>
          </w:p>
        </w:tc>
        <w:tc>
          <w:tcPr>
            <w:tcW w:w="3544"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积极推进增值税、资源税、消费税、个人所得税、房地产税、环境保护税等税制改革。</w:t>
            </w:r>
          </w:p>
        </w:tc>
        <w:tc>
          <w:tcPr>
            <w:tcW w:w="235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（一）全面完成</w:t>
            </w:r>
            <w:r>
              <w:rPr>
                <w:rFonts w:hint="eastAsia" w:cs="宋体"/>
                <w:kern w:val="0"/>
                <w:sz w:val="22"/>
                <w:szCs w:val="22"/>
              </w:rPr>
              <w:t>“</w:t>
            </w:r>
            <w:r>
              <w:rPr>
                <w:rFonts w:hint="eastAsia" w:hAnsi="宋体" w:cs="宋体"/>
                <w:kern w:val="0"/>
                <w:sz w:val="22"/>
                <w:szCs w:val="22"/>
              </w:rPr>
              <w:t>营改增</w:t>
            </w:r>
            <w:r>
              <w:rPr>
                <w:rFonts w:hint="eastAsia" w:cs="宋体"/>
                <w:kern w:val="0"/>
                <w:sz w:val="22"/>
                <w:szCs w:val="22"/>
              </w:rPr>
              <w:t>”</w:t>
            </w:r>
            <w:r>
              <w:rPr>
                <w:rFonts w:hint="eastAsia" w:hAnsi="宋体" w:cs="宋体"/>
                <w:kern w:val="0"/>
                <w:sz w:val="22"/>
                <w:szCs w:val="22"/>
              </w:rPr>
              <w:t>工作。</w:t>
            </w:r>
          </w:p>
          <w:p>
            <w:pPr>
              <w:widowControl/>
              <w:rPr>
                <w:rFonts w:cs="宋体"/>
                <w:kern w:val="0"/>
                <w:sz w:val="22"/>
                <w:szCs w:val="22"/>
              </w:rPr>
            </w:pPr>
            <w:r>
              <w:rPr>
                <w:rFonts w:hint="eastAsia" w:hAnsi="宋体" w:cs="宋体"/>
                <w:kern w:val="0"/>
                <w:sz w:val="22"/>
                <w:szCs w:val="22"/>
              </w:rPr>
              <w:t>（二）落实中央和自治区税制改革的文件。</w:t>
            </w:r>
          </w:p>
        </w:tc>
      </w:tr>
      <w:tr>
        <w:tblPrEx>
          <w:tblLayout w:type="fixed"/>
          <w:tblCellMar>
            <w:top w:w="0" w:type="dxa"/>
            <w:left w:w="108" w:type="dxa"/>
            <w:bottom w:w="0" w:type="dxa"/>
            <w:right w:w="108" w:type="dxa"/>
          </w:tblCellMar>
        </w:tblPrEx>
        <w:trPr>
          <w:trHeight w:val="1076"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财政体制改革</w:t>
            </w:r>
          </w:p>
        </w:tc>
        <w:tc>
          <w:tcPr>
            <w:tcW w:w="26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建立事权和支出责任相适应的制度，理顺城区责、权、利相统一的财政体制。</w:t>
            </w:r>
          </w:p>
        </w:tc>
        <w:tc>
          <w:tcPr>
            <w:tcW w:w="3544"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进行市辖区财政体制改革。完善市对城区转移支付制度。</w:t>
            </w:r>
          </w:p>
        </w:tc>
        <w:tc>
          <w:tcPr>
            <w:tcW w:w="235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出台进行市辖区财政体制改革的决定。</w:t>
            </w:r>
          </w:p>
        </w:tc>
      </w:tr>
    </w:tbl>
    <w:p>
      <w:pPr>
        <w:spacing w:line="440" w:lineRule="exact"/>
        <w:ind w:firstLine="640"/>
        <w:rPr>
          <w:rFonts w:eastAsia="仿宋"/>
          <w:sz w:val="30"/>
          <w:szCs w:val="30"/>
        </w:rPr>
      </w:pPr>
    </w:p>
    <w:p>
      <w:pPr>
        <w:pStyle w:val="27"/>
        <w:spacing w:before="0" w:after="0" w:line="440" w:lineRule="exact"/>
        <w:ind w:firstLine="590" w:firstLineChars="196"/>
        <w:rPr>
          <w:sz w:val="30"/>
          <w:szCs w:val="30"/>
        </w:rPr>
      </w:pPr>
      <w:bookmarkStart w:id="39" w:name="_Toc456552698"/>
      <w:bookmarkStart w:id="40" w:name="_Toc456447941"/>
      <w:bookmarkStart w:id="41" w:name="_Toc32180"/>
      <w:r>
        <w:rPr>
          <w:rFonts w:hint="eastAsia"/>
          <w:sz w:val="30"/>
          <w:szCs w:val="30"/>
        </w:rPr>
        <w:t>（四）完善政府服务实体经济的机制</w:t>
      </w:r>
      <w:bookmarkEnd w:id="39"/>
      <w:bookmarkEnd w:id="40"/>
      <w:bookmarkEnd w:id="41"/>
    </w:p>
    <w:p>
      <w:pPr>
        <w:spacing w:line="440" w:lineRule="exact"/>
        <w:ind w:firstLine="640"/>
        <w:rPr>
          <w:rFonts w:eastAsia="仿宋" w:cs="Arial"/>
          <w:sz w:val="30"/>
          <w:szCs w:val="30"/>
        </w:rPr>
      </w:pPr>
      <w:r>
        <w:rPr>
          <w:rFonts w:hint="eastAsia" w:eastAsia="仿宋" w:cs="Arial"/>
          <w:sz w:val="30"/>
          <w:szCs w:val="30"/>
        </w:rPr>
        <w:t>建立涵盖重大项目引进、审批、建设、竣工、投产全过程的统筹协调机制。建立完善重大项目全程跟踪、督办和协调服务制度，完善“一个建设项目、一名对应市领导、一个工作机构、一个计划目标、一抓到底”的重大项目推进机制。建立协调机制，完善市区建设项目土地房屋征收及土地储备联席会议、项目投融资联席会议、国际旅游胜地招商引资工作综合协调联席会议制度。完善项目建设监管、产业监测、预警、统计考评制度，建立项目跟踪服务信息系统。出台适应经济新常态、大力发展限上企业、推进桂林市第三产业快速发展系列措施，完善产业发展政策保障体系。进一步细化落实国际旅游胜地、工业强市战略等各项政策，推动产业转型升级。</w:t>
      </w:r>
    </w:p>
    <w:p>
      <w:pPr>
        <w:pStyle w:val="3"/>
        <w:spacing w:line="440" w:lineRule="exact"/>
        <w:ind w:left="0" w:leftChars="0" w:firstLine="590" w:firstLineChars="196"/>
        <w:rPr>
          <w:rFonts w:ascii="Times New Roman" w:hAnsi="Times New Roman" w:eastAsia="黑体"/>
          <w:sz w:val="30"/>
          <w:szCs w:val="30"/>
        </w:rPr>
      </w:pPr>
      <w:bookmarkStart w:id="42" w:name="_Toc23801"/>
      <w:bookmarkStart w:id="43" w:name="_Toc456447942"/>
      <w:bookmarkStart w:id="44" w:name="_Toc456552699"/>
      <w:r>
        <w:rPr>
          <w:rFonts w:hint="eastAsia" w:ascii="Times New Roman" w:hAnsi="黑体" w:eastAsia="黑体"/>
          <w:sz w:val="30"/>
          <w:szCs w:val="30"/>
        </w:rPr>
        <w:t>二、发挥市场决定性作用，激发各要素的活力</w:t>
      </w:r>
      <w:bookmarkEnd w:id="42"/>
      <w:bookmarkEnd w:id="43"/>
      <w:bookmarkEnd w:id="44"/>
    </w:p>
    <w:p>
      <w:pPr>
        <w:pStyle w:val="27"/>
        <w:spacing w:before="0" w:after="0" w:line="440" w:lineRule="exact"/>
        <w:ind w:firstLine="590" w:firstLineChars="196"/>
        <w:rPr>
          <w:sz w:val="30"/>
          <w:szCs w:val="30"/>
        </w:rPr>
      </w:pPr>
      <w:bookmarkStart w:id="45" w:name="_Toc27892"/>
      <w:bookmarkStart w:id="46" w:name="_Toc456552700"/>
      <w:bookmarkStart w:id="47" w:name="_Toc456447948"/>
      <w:r>
        <w:rPr>
          <w:rFonts w:hint="eastAsia"/>
          <w:sz w:val="30"/>
          <w:szCs w:val="30"/>
        </w:rPr>
        <w:t>（一）进行市场运行机制改革</w:t>
      </w:r>
      <w:bookmarkEnd w:id="45"/>
      <w:bookmarkEnd w:id="46"/>
      <w:bookmarkEnd w:id="47"/>
    </w:p>
    <w:p>
      <w:pPr>
        <w:snapToGrid w:val="0"/>
        <w:spacing w:line="440" w:lineRule="exact"/>
        <w:ind w:firstLine="600" w:firstLineChars="200"/>
        <w:rPr>
          <w:rFonts w:eastAsia="仿宋" w:cs="Arial"/>
          <w:sz w:val="30"/>
          <w:szCs w:val="30"/>
        </w:rPr>
      </w:pPr>
      <w:r>
        <w:rPr>
          <w:rFonts w:hint="eastAsia" w:eastAsia="仿宋" w:cs="Arial"/>
          <w:sz w:val="30"/>
          <w:szCs w:val="30"/>
        </w:rPr>
        <w:t>一是全面激活市场要素。培育各类市场，激活社会创造力。加快形成统一开放、竞争有序的市场体系，建立公平竞争保障机制，打破地域分割和行业垄断，着力清除市场壁垒，促进商品和要素自由有序流动、平等交换。积极探索实现资本、技术、企业家才能有效结合的途径</w:t>
      </w:r>
      <w:r>
        <w:rPr>
          <w:rFonts w:eastAsia="仿宋" w:cs="Arial"/>
          <w:sz w:val="30"/>
          <w:szCs w:val="30"/>
        </w:rPr>
        <w:t>,</w:t>
      </w:r>
      <w:r>
        <w:rPr>
          <w:rFonts w:hint="eastAsia" w:eastAsia="仿宋" w:cs="Arial"/>
          <w:sz w:val="30"/>
          <w:szCs w:val="30"/>
        </w:rPr>
        <w:t>探索金融资本与产业资本相互融合的形式和渠道。开辟民间资本和银行资本进入中小企业的新通道。加快土地承包权的流转，建立城乡统一的建设用地市场。建立健全与市情相适应的产权交易市场，构建归属清晰、权责明确、保护严格、流转顺畅的现代产权制度。</w:t>
      </w:r>
    </w:p>
    <w:p>
      <w:pPr>
        <w:snapToGrid w:val="0"/>
        <w:spacing w:line="440" w:lineRule="exact"/>
        <w:ind w:firstLine="600" w:firstLineChars="200"/>
        <w:rPr>
          <w:rFonts w:eastAsia="仿宋"/>
          <w:sz w:val="30"/>
          <w:szCs w:val="30"/>
        </w:rPr>
      </w:pPr>
      <w:r>
        <w:rPr>
          <w:rFonts w:hint="eastAsia" w:eastAsia="仿宋" w:cs="Arial"/>
          <w:sz w:val="30"/>
          <w:szCs w:val="30"/>
        </w:rPr>
        <w:t>二是完善市场价格形成机制。完成旅游价格制度改革，重点推进以漓江旅游为核心的游览票价改革，探索实行游览票价与交通票价相分离的票价模式。</w:t>
      </w:r>
      <w:r>
        <w:rPr>
          <w:rFonts w:hint="eastAsia" w:hAnsi="仿宋" w:eastAsia="仿宋"/>
          <w:sz w:val="30"/>
          <w:szCs w:val="30"/>
        </w:rPr>
        <w:t>按照国家和自治区的统一部署，积极推进水、电力、天然气、交通、电信等领域价格改革。实行居民生活阶梯水价、气价，简化用水、用电价格分类，完善污水处理收费政策，调整水资源费征收标准。进一步加强价格宣传工作，完善价格听证会制度，进一步加强民生价格和涉企涉农价费监管。</w:t>
      </w:r>
    </w:p>
    <w:p>
      <w:pPr>
        <w:snapToGrid w:val="0"/>
        <w:spacing w:line="440" w:lineRule="exact"/>
        <w:ind w:firstLine="600" w:firstLineChars="200"/>
        <w:rPr>
          <w:rFonts w:eastAsia="仿宋" w:cs="Arial"/>
          <w:sz w:val="30"/>
          <w:szCs w:val="30"/>
        </w:rPr>
      </w:pPr>
      <w:r>
        <w:rPr>
          <w:rFonts w:hint="eastAsia" w:eastAsia="仿宋" w:cs="Arial"/>
          <w:sz w:val="30"/>
          <w:szCs w:val="30"/>
        </w:rPr>
        <w:t>三是建立完善市场交易平台。加强各类技术交易平台建设，健全技术市场交易规则，鼓励技术转移服务机构发展。培育各类中介机构，构建大型专业市场，大力推动旅游、农产品等桂林地方特色交易平台建设，整合建立统一规范的公共资源交易平台。大力发展“互联网＋”商业新业态。提升现有物流资源，建设储运、配送、信息处理于一体的现代化物流园区。积极发展和规范行业协会、市场中介组织服务，出台鼓励市场中介服务的相关政策，建立相关的运行机制。</w:t>
      </w:r>
    </w:p>
    <w:p>
      <w:pPr>
        <w:snapToGrid w:val="0"/>
        <w:spacing w:line="440" w:lineRule="exact"/>
        <w:ind w:firstLine="600" w:firstLineChars="200"/>
        <w:rPr>
          <w:rFonts w:eastAsia="仿宋" w:cs="Arial"/>
          <w:sz w:val="30"/>
          <w:szCs w:val="30"/>
        </w:rPr>
      </w:pPr>
      <w:r>
        <w:rPr>
          <w:rFonts w:hint="eastAsia" w:eastAsia="仿宋" w:cs="Arial"/>
          <w:sz w:val="30"/>
          <w:szCs w:val="30"/>
        </w:rPr>
        <w:t>四是改革市场监管体系。强化生产经营者主体责任，试行扩大食品药品、生态环境、安全生产等领域的责任保险。强化依据标准监管，严格产品质量、安全生产、能源消耗、环境损害的强制性标准，建立健全市场主体行为规则和监管办法。实行统一的市场监管</w:t>
      </w:r>
      <w:r>
        <w:rPr>
          <w:rFonts w:eastAsia="仿宋" w:cs="Arial"/>
          <w:sz w:val="30"/>
          <w:szCs w:val="30"/>
        </w:rPr>
        <w:t>,</w:t>
      </w:r>
      <w:r>
        <w:rPr>
          <w:rFonts w:hint="eastAsia" w:eastAsia="仿宋" w:cs="Arial"/>
          <w:sz w:val="30"/>
          <w:szCs w:val="30"/>
        </w:rPr>
        <w:t>保护竞争。构建市场主体信用信息公示系统，健全社会征信体系。逐步建立健全企业信息公示机制，促进企业诚信自律，强化企业信用约束。推进</w:t>
      </w:r>
      <w:r>
        <w:rPr>
          <w:rFonts w:eastAsia="仿宋" w:cs="Arial"/>
          <w:sz w:val="30"/>
          <w:szCs w:val="30"/>
        </w:rPr>
        <w:t>“</w:t>
      </w:r>
      <w:r>
        <w:rPr>
          <w:rFonts w:hint="eastAsia" w:eastAsia="仿宋" w:cs="Arial"/>
          <w:sz w:val="30"/>
          <w:szCs w:val="30"/>
        </w:rPr>
        <w:t>天眼工程</w:t>
      </w:r>
      <w:r>
        <w:rPr>
          <w:rFonts w:eastAsia="仿宋" w:cs="Arial"/>
          <w:sz w:val="30"/>
          <w:szCs w:val="30"/>
        </w:rPr>
        <w:t>”</w:t>
      </w:r>
      <w:r>
        <w:rPr>
          <w:rFonts w:hint="eastAsia" w:eastAsia="仿宋" w:cs="Arial"/>
          <w:sz w:val="30"/>
          <w:szCs w:val="30"/>
        </w:rPr>
        <w:t>，改革和加强市场监管模式，实现对市场环境、交易行为和工商行政执法工作的在线全程监管、远程监控，营造良好的市场环境。发挥行业协会商会和市场专业化服务组织的自律作用，推进检验检测认证机构与政府脱钩、转制为企业或社会组织的改革，有序放开检验检测认证市场。</w:t>
      </w:r>
    </w:p>
    <w:p>
      <w:pPr>
        <w:snapToGrid w:val="0"/>
        <w:spacing w:line="440" w:lineRule="exact"/>
        <w:ind w:firstLine="600" w:firstLineChars="200"/>
        <w:rPr>
          <w:rFonts w:eastAsia="仿宋" w:cs="Arial"/>
          <w:sz w:val="30"/>
          <w:szCs w:val="30"/>
        </w:rPr>
      </w:pPr>
    </w:p>
    <w:p>
      <w:pPr>
        <w:spacing w:line="440" w:lineRule="exact"/>
        <w:ind w:firstLine="641"/>
        <w:jc w:val="center"/>
        <w:rPr>
          <w:rFonts w:eastAsia="仿宋"/>
          <w:b/>
          <w:sz w:val="30"/>
          <w:szCs w:val="30"/>
        </w:rPr>
      </w:pPr>
      <w:r>
        <w:rPr>
          <w:rFonts w:hint="eastAsia" w:hAnsi="仿宋" w:eastAsia="仿宋"/>
          <w:b/>
          <w:sz w:val="30"/>
          <w:szCs w:val="30"/>
        </w:rPr>
        <w:t>专栏</w:t>
      </w:r>
      <w:r>
        <w:rPr>
          <w:rFonts w:eastAsia="仿宋"/>
          <w:b/>
          <w:sz w:val="30"/>
          <w:szCs w:val="30"/>
        </w:rPr>
        <w:t>3</w:t>
      </w:r>
      <w:r>
        <w:rPr>
          <w:rFonts w:hint="eastAsia" w:hAnsi="仿宋" w:eastAsia="仿宋"/>
          <w:b/>
          <w:sz w:val="30"/>
          <w:szCs w:val="30"/>
        </w:rPr>
        <w:t>：</w:t>
      </w:r>
      <w:r>
        <w:rPr>
          <w:rFonts w:hint="eastAsia"/>
          <w:b/>
          <w:sz w:val="30"/>
          <w:szCs w:val="30"/>
        </w:rPr>
        <w:t>市场运行机制重点改革项目</w:t>
      </w:r>
    </w:p>
    <w:tbl>
      <w:tblPr>
        <w:tblStyle w:val="16"/>
        <w:tblW w:w="9594" w:type="dxa"/>
        <w:tblInd w:w="95" w:type="dxa"/>
        <w:tblLayout w:type="fixed"/>
        <w:tblCellMar>
          <w:top w:w="0" w:type="dxa"/>
          <w:left w:w="108" w:type="dxa"/>
          <w:bottom w:w="0" w:type="dxa"/>
          <w:right w:w="108" w:type="dxa"/>
        </w:tblCellMar>
      </w:tblPr>
      <w:tblGrid>
        <w:gridCol w:w="1057"/>
        <w:gridCol w:w="2642"/>
        <w:gridCol w:w="3544"/>
        <w:gridCol w:w="2351"/>
      </w:tblGrid>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w:t>
            </w:r>
          </w:p>
          <w:p>
            <w:pPr>
              <w:widowControl/>
              <w:jc w:val="center"/>
              <w:rPr>
                <w:rFonts w:cs="宋体"/>
                <w:b/>
                <w:kern w:val="0"/>
                <w:sz w:val="24"/>
              </w:rPr>
            </w:pPr>
            <w:r>
              <w:rPr>
                <w:rFonts w:hint="eastAsia" w:hAnsi="宋体" w:cs="宋体"/>
                <w:b/>
                <w:kern w:val="0"/>
                <w:sz w:val="24"/>
              </w:rPr>
              <w:t>项目</w:t>
            </w:r>
          </w:p>
        </w:tc>
        <w:tc>
          <w:tcPr>
            <w:tcW w:w="264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改革内容</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主要成果</w:t>
            </w:r>
          </w:p>
        </w:tc>
      </w:tr>
      <w:tr>
        <w:tblPrEx>
          <w:tblLayout w:type="fixed"/>
          <w:tblCellMar>
            <w:top w:w="0" w:type="dxa"/>
            <w:left w:w="108" w:type="dxa"/>
            <w:bottom w:w="0" w:type="dxa"/>
            <w:right w:w="108" w:type="dxa"/>
          </w:tblCellMar>
        </w:tblPrEx>
        <w:trPr>
          <w:trHeight w:val="1701"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完善各类市场体系改革</w:t>
            </w:r>
          </w:p>
        </w:tc>
        <w:tc>
          <w:tcPr>
            <w:tcW w:w="26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加快建设统一开放、竞争有序的产品、技术、产权、资本、人力资源等各类市场。</w:t>
            </w:r>
          </w:p>
        </w:tc>
        <w:tc>
          <w:tcPr>
            <w:tcW w:w="3544"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开展桂林市场体系调研，制定各类市场发展意见，明确鼓励发展，规范发展的方向，逐步建立起统一开放、竞争有序的桂林市场体系。实现商品和要素自由流动、平等交换。</w:t>
            </w:r>
          </w:p>
        </w:tc>
        <w:tc>
          <w:tcPr>
            <w:tcW w:w="235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制定符合桂林体系实际的各类发展意见和相关管理办法。</w:t>
            </w:r>
          </w:p>
        </w:tc>
      </w:tr>
      <w:tr>
        <w:tblPrEx>
          <w:tblLayout w:type="fixed"/>
          <w:tblCellMar>
            <w:top w:w="0" w:type="dxa"/>
            <w:left w:w="108" w:type="dxa"/>
            <w:bottom w:w="0" w:type="dxa"/>
            <w:right w:w="108" w:type="dxa"/>
          </w:tblCellMar>
        </w:tblPrEx>
        <w:trPr>
          <w:trHeight w:val="2126"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完善市场监管体系</w:t>
            </w:r>
          </w:p>
        </w:tc>
        <w:tc>
          <w:tcPr>
            <w:tcW w:w="26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实行统一的市场监管</w:t>
            </w:r>
            <w:r>
              <w:rPr>
                <w:rFonts w:cs="宋体"/>
                <w:kern w:val="0"/>
                <w:sz w:val="22"/>
                <w:szCs w:val="22"/>
              </w:rPr>
              <w:t>,</w:t>
            </w:r>
            <w:r>
              <w:rPr>
                <w:rFonts w:hint="eastAsia" w:hAnsi="宋体" w:cs="宋体"/>
                <w:kern w:val="0"/>
                <w:sz w:val="22"/>
                <w:szCs w:val="22"/>
              </w:rPr>
              <w:t>保护竞争。</w:t>
            </w:r>
          </w:p>
        </w:tc>
        <w:tc>
          <w:tcPr>
            <w:tcW w:w="3544"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构建市场主体信用信息公示系统，健全社会征信体系。推进</w:t>
            </w:r>
            <w:r>
              <w:rPr>
                <w:rFonts w:hint="eastAsia" w:cs="宋体"/>
                <w:kern w:val="0"/>
                <w:sz w:val="22"/>
                <w:szCs w:val="22"/>
              </w:rPr>
              <w:t>“</w:t>
            </w:r>
            <w:r>
              <w:rPr>
                <w:rFonts w:hint="eastAsia" w:hAnsi="宋体" w:cs="宋体"/>
                <w:kern w:val="0"/>
                <w:sz w:val="22"/>
                <w:szCs w:val="22"/>
              </w:rPr>
              <w:t>天眼工程</w:t>
            </w:r>
            <w:r>
              <w:rPr>
                <w:rFonts w:hint="eastAsia" w:cs="宋体"/>
                <w:kern w:val="0"/>
                <w:sz w:val="22"/>
                <w:szCs w:val="22"/>
              </w:rPr>
              <w:t>”</w:t>
            </w:r>
            <w:r>
              <w:rPr>
                <w:rFonts w:hint="eastAsia" w:hAnsi="宋体" w:cs="宋体"/>
                <w:kern w:val="0"/>
                <w:sz w:val="22"/>
                <w:szCs w:val="22"/>
              </w:rPr>
              <w:t>，实现对市场环境、交易行为和工商行政执法工作的在线全程监管、远程监控。实行统一的市场准入和市场监管制度，建立负面清单管理制度。</w:t>
            </w:r>
          </w:p>
        </w:tc>
        <w:tc>
          <w:tcPr>
            <w:tcW w:w="235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（一）制定关于全面实行市场准入负面清单管理方式的实施细则（二）建设构建市场主体信用信息公示系统。</w:t>
            </w:r>
          </w:p>
        </w:tc>
      </w:tr>
      <w:tr>
        <w:tblPrEx>
          <w:tblLayout w:type="fixed"/>
          <w:tblCellMar>
            <w:top w:w="0" w:type="dxa"/>
            <w:left w:w="108" w:type="dxa"/>
            <w:bottom w:w="0" w:type="dxa"/>
            <w:right w:w="108" w:type="dxa"/>
          </w:tblCellMar>
        </w:tblPrEx>
        <w:trPr>
          <w:trHeight w:val="1632"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推进价格制度改革</w:t>
            </w:r>
          </w:p>
        </w:tc>
        <w:tc>
          <w:tcPr>
            <w:tcW w:w="26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完善市场价格形成机制。</w:t>
            </w:r>
          </w:p>
        </w:tc>
        <w:tc>
          <w:tcPr>
            <w:tcW w:w="3544"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推进旅游价格制度改革，积极推进水、电力、天然气、交通、电信等领域价格改革。完善价格听证会制度，进一步加强民生价格和涉企涉农价费监管。</w:t>
            </w:r>
          </w:p>
        </w:tc>
        <w:tc>
          <w:tcPr>
            <w:tcW w:w="235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（一）漓江票价改革。（二）推进水、电力、天然气、交通、电信等领域价格改革。</w:t>
            </w:r>
          </w:p>
        </w:tc>
      </w:tr>
    </w:tbl>
    <w:p>
      <w:pPr>
        <w:snapToGrid w:val="0"/>
        <w:spacing w:line="440" w:lineRule="exact"/>
        <w:ind w:firstLine="600" w:firstLineChars="200"/>
        <w:rPr>
          <w:rFonts w:eastAsia="仿宋" w:cs="Arial"/>
          <w:sz w:val="30"/>
          <w:szCs w:val="30"/>
        </w:rPr>
      </w:pPr>
    </w:p>
    <w:p>
      <w:pPr>
        <w:pStyle w:val="27"/>
        <w:spacing w:before="0" w:line="440" w:lineRule="exact"/>
        <w:ind w:firstLine="590" w:firstLineChars="196"/>
        <w:rPr>
          <w:sz w:val="30"/>
          <w:szCs w:val="30"/>
        </w:rPr>
      </w:pPr>
      <w:bookmarkStart w:id="48" w:name="_Toc456552701"/>
      <w:bookmarkStart w:id="49" w:name="_Toc456447943"/>
      <w:bookmarkStart w:id="50" w:name="_Toc16786"/>
      <w:r>
        <w:rPr>
          <w:rFonts w:hint="eastAsia"/>
          <w:sz w:val="30"/>
          <w:szCs w:val="30"/>
        </w:rPr>
        <w:t>（二）深化土地制度改革</w:t>
      </w:r>
      <w:bookmarkEnd w:id="48"/>
      <w:bookmarkEnd w:id="49"/>
      <w:bookmarkEnd w:id="50"/>
    </w:p>
    <w:p>
      <w:pPr>
        <w:spacing w:line="440" w:lineRule="exact"/>
        <w:ind w:firstLine="630"/>
        <w:rPr>
          <w:rFonts w:eastAsia="仿宋"/>
          <w:sz w:val="30"/>
          <w:szCs w:val="30"/>
        </w:rPr>
      </w:pPr>
      <w:r>
        <w:rPr>
          <w:rFonts w:hint="eastAsia" w:hAnsi="仿宋" w:eastAsia="仿宋" w:cs="仿宋_GB2312"/>
          <w:sz w:val="30"/>
          <w:szCs w:val="30"/>
        </w:rPr>
        <w:t>创新土地利用总体规划实施管理，实行土地利用年度计划差别化管理，推动国土综合开发整治，优化土地利用结构布局。实施年度用地指标与工业化、城镇化发展相挂钩机制，制定工业用地弹性供给制度，建立产业用地退出机制。在符合规划、用途管制和依法取得前提下，推进农村集体经营性建设用地与国有建设用地同等入市、同权同价，探索</w:t>
      </w:r>
      <w:r>
        <w:rPr>
          <w:rFonts w:hint="eastAsia" w:hAnsi="仿宋" w:eastAsia="仿宋" w:cs="仿宋_GB2312"/>
          <w:color w:val="FF0000"/>
          <w:sz w:val="30"/>
          <w:szCs w:val="30"/>
        </w:rPr>
        <w:t>逐步建立城乡统一、主体平等、产权清晰、竞争有序的建设用地市场，促进城乡土地资源市场化配置。</w:t>
      </w:r>
      <w:r>
        <w:rPr>
          <w:rFonts w:hint="eastAsia" w:hAnsi="仿宋" w:eastAsia="仿宋" w:cs="仿宋_GB2312"/>
          <w:sz w:val="30"/>
          <w:szCs w:val="30"/>
        </w:rPr>
        <w:t>深化城乡建设用地增减挂钩、集体建设用地流转、低丘缓坡未利用地综合开发利用等改革。改革土地收益分配制度，规范土地增值收益分配，建立健全政府、土地开发者、土地所有权人、土地使用权人的收益分配机制。推进征地制度改革，缩小征地范围，规范征地程序，完善被征地农民合理、规范、多元保障机制，完善被征地土地权利人的权益维护机制。推进征地信息公开。推进土地管理审批制度改革，完善</w:t>
      </w:r>
      <w:r>
        <w:rPr>
          <w:rFonts w:hint="eastAsia" w:eastAsia="仿宋" w:cs="仿宋_GB2312"/>
          <w:sz w:val="30"/>
          <w:szCs w:val="30"/>
        </w:rPr>
        <w:t>“</w:t>
      </w:r>
      <w:r>
        <w:rPr>
          <w:rFonts w:hint="eastAsia" w:hAnsi="仿宋" w:eastAsia="仿宋" w:cs="仿宋_GB2312"/>
          <w:sz w:val="30"/>
          <w:szCs w:val="30"/>
        </w:rPr>
        <w:t>审管分离</w:t>
      </w:r>
      <w:r>
        <w:rPr>
          <w:rFonts w:hint="eastAsia" w:eastAsia="仿宋" w:cs="仿宋_GB2312"/>
          <w:sz w:val="30"/>
          <w:szCs w:val="30"/>
        </w:rPr>
        <w:t>”</w:t>
      </w:r>
      <w:r>
        <w:rPr>
          <w:rFonts w:hint="eastAsia" w:hAnsi="仿宋" w:eastAsia="仿宋" w:cs="仿宋_GB2312"/>
          <w:sz w:val="30"/>
          <w:szCs w:val="30"/>
        </w:rPr>
        <w:t>制度。提高行政审批效率，强化批后实施监管。严守耕地保护、生态安全双红线。健全节约集约用地的综合考评、监管体系。深化旅游产业用地改革试点工作，落实节约优先促进旅游产业转型升级的供地政策，对旅游产业用地进行分类管理，鼓励农村利用集体土地参与旅游项目开发。落实和深化桂林旅游产业用地改革试点若干政策，完善重大旅游建设项目滚动管理机制。建立产权明晰、保护权益、运转通畅的不动产统一登记制度，</w:t>
      </w:r>
      <w:r>
        <w:rPr>
          <w:rFonts w:hint="eastAsia" w:hAnsi="仿宋" w:eastAsia="仿宋"/>
          <w:sz w:val="30"/>
          <w:szCs w:val="30"/>
        </w:rPr>
        <w:t>做好集体建设用地确权工作，完成农村承包地、宅基地、林地确权登记颁证工作。</w:t>
      </w:r>
    </w:p>
    <w:p>
      <w:pPr>
        <w:spacing w:line="440" w:lineRule="exact"/>
        <w:ind w:firstLine="641"/>
        <w:jc w:val="center"/>
        <w:rPr>
          <w:rFonts w:eastAsia="仿宋"/>
          <w:b/>
          <w:sz w:val="30"/>
          <w:szCs w:val="30"/>
        </w:rPr>
      </w:pPr>
      <w:r>
        <w:rPr>
          <w:rFonts w:hint="eastAsia" w:hAnsi="仿宋" w:eastAsia="仿宋"/>
          <w:b/>
          <w:sz w:val="30"/>
          <w:szCs w:val="30"/>
        </w:rPr>
        <w:t>专栏</w:t>
      </w:r>
      <w:r>
        <w:rPr>
          <w:rFonts w:eastAsia="仿宋"/>
          <w:b/>
          <w:sz w:val="30"/>
          <w:szCs w:val="30"/>
        </w:rPr>
        <w:t>4</w:t>
      </w:r>
      <w:r>
        <w:rPr>
          <w:rFonts w:hint="eastAsia" w:hAnsi="仿宋" w:eastAsia="仿宋"/>
          <w:b/>
          <w:sz w:val="30"/>
          <w:szCs w:val="30"/>
        </w:rPr>
        <w:t>：</w:t>
      </w:r>
      <w:r>
        <w:rPr>
          <w:rFonts w:hint="eastAsia"/>
          <w:b/>
          <w:sz w:val="30"/>
          <w:szCs w:val="30"/>
        </w:rPr>
        <w:t>土地制度重点改革项目</w:t>
      </w:r>
    </w:p>
    <w:tbl>
      <w:tblPr>
        <w:tblStyle w:val="16"/>
        <w:tblW w:w="9594" w:type="dxa"/>
        <w:tblInd w:w="95" w:type="dxa"/>
        <w:tblLayout w:type="fixed"/>
        <w:tblCellMar>
          <w:top w:w="0" w:type="dxa"/>
          <w:left w:w="108" w:type="dxa"/>
          <w:bottom w:w="0" w:type="dxa"/>
          <w:right w:w="108" w:type="dxa"/>
        </w:tblCellMar>
      </w:tblPr>
      <w:tblGrid>
        <w:gridCol w:w="1057"/>
        <w:gridCol w:w="2642"/>
        <w:gridCol w:w="3544"/>
        <w:gridCol w:w="2351"/>
      </w:tblGrid>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w:t>
            </w:r>
          </w:p>
          <w:p>
            <w:pPr>
              <w:widowControl/>
              <w:jc w:val="center"/>
              <w:rPr>
                <w:rFonts w:cs="宋体"/>
                <w:b/>
                <w:kern w:val="0"/>
                <w:sz w:val="24"/>
              </w:rPr>
            </w:pPr>
            <w:r>
              <w:rPr>
                <w:rFonts w:hint="eastAsia" w:hAnsi="宋体" w:cs="宋体"/>
                <w:b/>
                <w:kern w:val="0"/>
                <w:sz w:val="24"/>
              </w:rPr>
              <w:t>项目</w:t>
            </w:r>
          </w:p>
        </w:tc>
        <w:tc>
          <w:tcPr>
            <w:tcW w:w="264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改革内容</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主要成果</w:t>
            </w:r>
          </w:p>
        </w:tc>
      </w:tr>
      <w:tr>
        <w:tblPrEx>
          <w:tblLayout w:type="fixed"/>
          <w:tblCellMar>
            <w:top w:w="0" w:type="dxa"/>
            <w:left w:w="108" w:type="dxa"/>
            <w:bottom w:w="0" w:type="dxa"/>
            <w:right w:w="108" w:type="dxa"/>
          </w:tblCellMar>
        </w:tblPrEx>
        <w:trPr>
          <w:trHeight w:val="1036"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推进征地制度改革</w:t>
            </w:r>
          </w:p>
        </w:tc>
        <w:tc>
          <w:tcPr>
            <w:tcW w:w="26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深入推进征地制度改革，缩小征地范围，规范征地程序。</w:t>
            </w:r>
          </w:p>
        </w:tc>
        <w:tc>
          <w:tcPr>
            <w:tcW w:w="3544"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加强征地管理完善征地补偿。</w:t>
            </w:r>
          </w:p>
        </w:tc>
        <w:tc>
          <w:tcPr>
            <w:tcW w:w="235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出台加强征地管理完善征地补偿的文件。</w:t>
            </w:r>
          </w:p>
        </w:tc>
      </w:tr>
      <w:tr>
        <w:tblPrEx>
          <w:tblLayout w:type="fixed"/>
          <w:tblCellMar>
            <w:top w:w="0" w:type="dxa"/>
            <w:left w:w="108" w:type="dxa"/>
            <w:bottom w:w="0" w:type="dxa"/>
            <w:right w:w="108" w:type="dxa"/>
          </w:tblCellMar>
        </w:tblPrEx>
        <w:trPr>
          <w:trHeight w:val="1701"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进一步深化旅游产业用地改革</w:t>
            </w:r>
          </w:p>
        </w:tc>
        <w:tc>
          <w:tcPr>
            <w:tcW w:w="26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建立起符合桂林旅游产业发展特点和要求的科学化、差别化、精细化、生态化的土地利用和管理制度。</w:t>
            </w:r>
          </w:p>
        </w:tc>
        <w:tc>
          <w:tcPr>
            <w:tcW w:w="3544"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实行旅游产业用地分类管理政策，建立符合旅游产业发展特点和要求的用地管理制度。</w:t>
            </w:r>
          </w:p>
        </w:tc>
        <w:tc>
          <w:tcPr>
            <w:tcW w:w="235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出台进一步的旅游产业用地政策。</w:t>
            </w:r>
          </w:p>
        </w:tc>
      </w:tr>
    </w:tbl>
    <w:p>
      <w:pPr>
        <w:spacing w:line="440" w:lineRule="exact"/>
        <w:rPr>
          <w:rFonts w:eastAsia="仿宋"/>
          <w:sz w:val="30"/>
          <w:szCs w:val="30"/>
        </w:rPr>
      </w:pPr>
    </w:p>
    <w:p>
      <w:pPr>
        <w:pStyle w:val="27"/>
        <w:spacing w:before="0" w:after="0" w:line="440" w:lineRule="exact"/>
        <w:ind w:firstLine="590" w:firstLineChars="196"/>
        <w:rPr>
          <w:sz w:val="30"/>
          <w:szCs w:val="30"/>
        </w:rPr>
      </w:pPr>
      <w:bookmarkStart w:id="51" w:name="_Toc456552702"/>
      <w:bookmarkStart w:id="52" w:name="_Toc19514"/>
      <w:bookmarkStart w:id="53" w:name="_Toc456447944"/>
      <w:r>
        <w:rPr>
          <w:rFonts w:hint="eastAsia"/>
          <w:sz w:val="30"/>
          <w:szCs w:val="30"/>
        </w:rPr>
        <w:t>（三）深化国资国企改革</w:t>
      </w:r>
      <w:bookmarkEnd w:id="51"/>
      <w:bookmarkEnd w:id="52"/>
      <w:bookmarkEnd w:id="53"/>
    </w:p>
    <w:p>
      <w:pPr>
        <w:adjustRightInd w:val="0"/>
        <w:snapToGrid w:val="0"/>
        <w:spacing w:line="440" w:lineRule="exact"/>
        <w:ind w:firstLine="640"/>
        <w:rPr>
          <w:rFonts w:eastAsia="仿宋"/>
          <w:sz w:val="30"/>
          <w:szCs w:val="30"/>
        </w:rPr>
      </w:pPr>
      <w:r>
        <w:rPr>
          <w:rFonts w:hint="eastAsia" w:hAnsi="仿宋" w:eastAsia="仿宋"/>
          <w:bCs/>
          <w:sz w:val="30"/>
          <w:szCs w:val="30"/>
        </w:rPr>
        <w:t>深化国有企业管理机制改革。推动桂林国家老工业基地调整改造。坚定不移把国有企业做强做优做大，培育一批具有自主创新能力和国际竞争力的国有骨干企业，增强国有经济活力、控制力、影响力、抗风险能力，更好服务于桂林国际旅游胜地建设战略目标。加快国有经济战略性调整，加大国有资本、资源整合力度，</w:t>
      </w:r>
      <w:r>
        <w:rPr>
          <w:rFonts w:hint="eastAsia" w:eastAsia="仿宋"/>
          <w:sz w:val="30"/>
          <w:szCs w:val="30"/>
        </w:rPr>
        <w:t>积极推进国有资本向大集团和龙头企业集中，向重要行业和关键领域集中。加快清退“僵尸企业”。组建国投产业发展集团。深化国有企业公司股份制改革，实现国有企业股权多元化，优化国有企业股权结构，引入非国有资本和股权投资基金参与国有企业改革和项目投资。广泛引入各类资本参与国有企业改制上市、兼并重组、项目投资，鼓励发展非公有资本控股的混合所有制企业，提高国有资本资产证券化率。加快建立现代企业制度，全面推进规范董事会、监事会建设，建立职业经理人制度，健全长效激励约束机制，形成以选聘制、任期制为主要方式的国有企业领导人管理体制。进一步完善企业负责人经营业绩考核指标，完善国有企业领导人员薪酬体系，合理确定薪资标准。妥善处理企业改制历史遗留问题，做到人员安置、资产处置到位和社会事务移交到位。深化国有林场改革，明确国有林场性质界定，坚守“保生态、保民生”两条底线，确保森林资源不破坏、国有资产不流失。</w:t>
      </w:r>
    </w:p>
    <w:p>
      <w:pPr>
        <w:adjustRightInd w:val="0"/>
        <w:snapToGrid w:val="0"/>
        <w:spacing w:line="440" w:lineRule="exact"/>
        <w:ind w:firstLine="640"/>
        <w:rPr>
          <w:rFonts w:eastAsia="仿宋" w:cs="Arial"/>
          <w:sz w:val="30"/>
          <w:szCs w:val="30"/>
        </w:rPr>
      </w:pPr>
      <w:r>
        <w:rPr>
          <w:rFonts w:hint="eastAsia" w:hAnsi="仿宋" w:eastAsia="仿宋"/>
          <w:bCs/>
          <w:sz w:val="30"/>
          <w:szCs w:val="30"/>
        </w:rPr>
        <w:t>深化国有资产管理体制改革。</w:t>
      </w:r>
      <w:r>
        <w:rPr>
          <w:rFonts w:hint="eastAsia" w:eastAsia="仿宋" w:cs="Arial"/>
          <w:sz w:val="30"/>
          <w:szCs w:val="30"/>
        </w:rPr>
        <w:t>出台并实施国资国企改革和国有资产管理体制改革的系列方案。建立经营性国有资产集中统一监管、国有企业分类监管制度。全面实现政企分开。建立以管资本为主的国有资产管理体制。加快国有企业公司制股份制改革，逐步实现国有企业股权多元化，完善现代企业制度、公司法人治理结构。全面推进规范董事会建设，优化董事会结构，落实董事会权责，健全董事会工作机构。强化监事会监督职能，健全监事会工作机构和工作制度，提高监事会监督效能。完善国有资产管理考评机制，实现保值增值。建立加强和改进企业国有资产监管防止国有资产流失的机制。完善国有资本经营预算制度。全面剥离企业办社会职能和解决历史遗留问题。建立县</w:t>
      </w:r>
      <w:r>
        <w:rPr>
          <w:rFonts w:eastAsia="仿宋" w:cs="Arial"/>
          <w:sz w:val="30"/>
          <w:szCs w:val="30"/>
        </w:rPr>
        <w:t>(</w:t>
      </w:r>
      <w:r>
        <w:rPr>
          <w:rFonts w:hint="eastAsia" w:eastAsia="仿宋" w:cs="Arial"/>
          <w:sz w:val="30"/>
          <w:szCs w:val="30"/>
        </w:rPr>
        <w:t>区</w:t>
      </w:r>
      <w:r>
        <w:rPr>
          <w:rFonts w:eastAsia="仿宋" w:cs="Arial"/>
          <w:sz w:val="30"/>
          <w:szCs w:val="30"/>
        </w:rPr>
        <w:t>)</w:t>
      </w:r>
      <w:r>
        <w:rPr>
          <w:rFonts w:hint="eastAsia" w:eastAsia="仿宋" w:cs="Arial"/>
          <w:sz w:val="30"/>
          <w:szCs w:val="30"/>
        </w:rPr>
        <w:t>国有资产监管机制。</w:t>
      </w:r>
    </w:p>
    <w:p>
      <w:pPr>
        <w:adjustRightInd w:val="0"/>
        <w:snapToGrid w:val="0"/>
        <w:spacing w:line="440" w:lineRule="exact"/>
        <w:ind w:firstLine="640"/>
        <w:rPr>
          <w:rFonts w:eastAsia="仿宋" w:cs="Arial"/>
          <w:sz w:val="30"/>
          <w:szCs w:val="30"/>
        </w:rPr>
      </w:pPr>
    </w:p>
    <w:p>
      <w:pPr>
        <w:spacing w:line="440" w:lineRule="exact"/>
        <w:ind w:firstLine="641"/>
        <w:jc w:val="center"/>
        <w:rPr>
          <w:rFonts w:eastAsia="仿宋"/>
          <w:b/>
          <w:sz w:val="30"/>
          <w:szCs w:val="30"/>
        </w:rPr>
      </w:pPr>
      <w:r>
        <w:rPr>
          <w:rFonts w:hint="eastAsia" w:hAnsi="仿宋" w:eastAsia="仿宋"/>
          <w:b/>
          <w:sz w:val="30"/>
          <w:szCs w:val="30"/>
        </w:rPr>
        <w:t>专栏</w:t>
      </w:r>
      <w:r>
        <w:rPr>
          <w:rFonts w:eastAsia="仿宋"/>
          <w:b/>
          <w:sz w:val="30"/>
          <w:szCs w:val="30"/>
        </w:rPr>
        <w:t>5</w:t>
      </w:r>
      <w:r>
        <w:rPr>
          <w:rFonts w:hint="eastAsia" w:hAnsi="仿宋" w:eastAsia="仿宋"/>
          <w:b/>
          <w:sz w:val="30"/>
          <w:szCs w:val="30"/>
        </w:rPr>
        <w:t>：</w:t>
      </w:r>
      <w:r>
        <w:rPr>
          <w:rFonts w:hint="eastAsia"/>
          <w:b/>
          <w:sz w:val="30"/>
          <w:szCs w:val="30"/>
        </w:rPr>
        <w:t>国资国企重点改革项目</w:t>
      </w:r>
    </w:p>
    <w:tbl>
      <w:tblPr>
        <w:tblStyle w:val="16"/>
        <w:tblW w:w="9594" w:type="dxa"/>
        <w:tblInd w:w="95" w:type="dxa"/>
        <w:tblLayout w:type="fixed"/>
        <w:tblCellMar>
          <w:top w:w="0" w:type="dxa"/>
          <w:left w:w="108" w:type="dxa"/>
          <w:bottom w:w="0" w:type="dxa"/>
          <w:right w:w="108" w:type="dxa"/>
        </w:tblCellMar>
      </w:tblPr>
      <w:tblGrid>
        <w:gridCol w:w="1057"/>
        <w:gridCol w:w="2642"/>
        <w:gridCol w:w="3544"/>
        <w:gridCol w:w="2351"/>
      </w:tblGrid>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w:t>
            </w:r>
          </w:p>
          <w:p>
            <w:pPr>
              <w:widowControl/>
              <w:jc w:val="center"/>
              <w:rPr>
                <w:rFonts w:cs="宋体"/>
                <w:b/>
                <w:kern w:val="0"/>
                <w:sz w:val="24"/>
              </w:rPr>
            </w:pPr>
            <w:r>
              <w:rPr>
                <w:rFonts w:hint="eastAsia" w:hAnsi="宋体" w:cs="宋体"/>
                <w:b/>
                <w:kern w:val="0"/>
                <w:sz w:val="24"/>
              </w:rPr>
              <w:t>项目</w:t>
            </w:r>
          </w:p>
        </w:tc>
        <w:tc>
          <w:tcPr>
            <w:tcW w:w="264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改革内容</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hAnsi="宋体" w:cs="宋体"/>
                <w:b/>
                <w:kern w:val="0"/>
                <w:sz w:val="24"/>
              </w:rPr>
              <w:t>主要成果</w:t>
            </w:r>
          </w:p>
        </w:tc>
      </w:tr>
      <w:tr>
        <w:tblPrEx>
          <w:tblLayout w:type="fixed"/>
          <w:tblCellMar>
            <w:top w:w="0" w:type="dxa"/>
            <w:left w:w="108" w:type="dxa"/>
            <w:bottom w:w="0" w:type="dxa"/>
            <w:right w:w="108" w:type="dxa"/>
          </w:tblCellMar>
        </w:tblPrEx>
        <w:trPr>
          <w:trHeight w:val="1036" w:hRule="atLeast"/>
        </w:trPr>
        <w:tc>
          <w:tcPr>
            <w:tcW w:w="1057" w:type="dxa"/>
            <w:vMerge w:val="restart"/>
            <w:tcBorders>
              <w:top w:val="single" w:color="auto" w:sz="4" w:space="0"/>
              <w:left w:val="single" w:color="auto" w:sz="4" w:space="0"/>
              <w:right w:val="single" w:color="auto" w:sz="4" w:space="0"/>
            </w:tcBorders>
            <w:vAlign w:val="center"/>
          </w:tcPr>
          <w:p>
            <w:pPr>
              <w:widowControl/>
              <w:jc w:val="center"/>
              <w:rPr>
                <w:rFonts w:cs="宋体"/>
                <w:kern w:val="0"/>
                <w:sz w:val="22"/>
                <w:szCs w:val="22"/>
              </w:rPr>
            </w:pPr>
            <w:r>
              <w:rPr>
                <w:rFonts w:hint="eastAsia" w:hAnsi="宋体" w:cs="宋体"/>
                <w:kern w:val="0"/>
                <w:sz w:val="22"/>
                <w:szCs w:val="22"/>
              </w:rPr>
              <w:t>深化国资国企改革</w:t>
            </w:r>
          </w:p>
          <w:p>
            <w:pPr>
              <w:jc w:val="center"/>
              <w:rPr>
                <w:rFonts w:cs="宋体"/>
                <w:kern w:val="0"/>
                <w:sz w:val="22"/>
                <w:szCs w:val="22"/>
              </w:rPr>
            </w:pPr>
          </w:p>
        </w:tc>
        <w:tc>
          <w:tcPr>
            <w:tcW w:w="26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建立经营性国有资产集中统一监管制度。完善以管资本为主的国有资产管理体制，全面深化国有企业公司股份制改革。</w:t>
            </w:r>
          </w:p>
        </w:tc>
        <w:tc>
          <w:tcPr>
            <w:tcW w:w="3544"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全面实现政企分开、政资分开和事企分开，实行经营性国有资产统一监管。改革国有资本授权经营体制，改革或组</w:t>
            </w:r>
            <w:r>
              <w:rPr>
                <w:rFonts w:hint="eastAsia" w:hAnsi="宋体" w:cs="宋体"/>
                <w:kern w:val="0"/>
                <w:sz w:val="22"/>
                <w:szCs w:val="22"/>
                <w:lang w:val="en-US" w:eastAsia="zh-CN"/>
              </w:rPr>
              <w:t>建</w:t>
            </w:r>
            <w:r>
              <w:rPr>
                <w:rFonts w:hint="eastAsia" w:hAnsi="宋体" w:cs="宋体"/>
                <w:kern w:val="0"/>
                <w:sz w:val="22"/>
                <w:szCs w:val="22"/>
              </w:rPr>
              <w:t>若干国有资本投资公司、国有资本运营公司，增强资源整合和产业聚集功能。</w:t>
            </w:r>
          </w:p>
        </w:tc>
        <w:tc>
          <w:tcPr>
            <w:tcW w:w="235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（一）实现市本级经营性国有资产委托监管工作的全覆盖。</w:t>
            </w:r>
          </w:p>
          <w:p>
            <w:pPr>
              <w:widowControl/>
              <w:rPr>
                <w:rFonts w:cs="宋体"/>
                <w:kern w:val="0"/>
                <w:sz w:val="22"/>
                <w:szCs w:val="22"/>
              </w:rPr>
            </w:pPr>
            <w:r>
              <w:rPr>
                <w:rFonts w:hint="eastAsia" w:hAnsi="宋体" w:cs="宋体"/>
                <w:kern w:val="0"/>
                <w:sz w:val="22"/>
                <w:szCs w:val="22"/>
              </w:rPr>
              <w:t>（二）组建若干国有资本运营公司和国有资本投资公司。</w:t>
            </w:r>
          </w:p>
        </w:tc>
      </w:tr>
      <w:tr>
        <w:tblPrEx>
          <w:tblLayout w:type="fixed"/>
          <w:tblCellMar>
            <w:top w:w="0" w:type="dxa"/>
            <w:left w:w="108" w:type="dxa"/>
            <w:bottom w:w="0" w:type="dxa"/>
            <w:right w:w="108" w:type="dxa"/>
          </w:tblCellMar>
        </w:tblPrEx>
        <w:trPr>
          <w:trHeight w:val="1036" w:hRule="atLeast"/>
        </w:trPr>
        <w:tc>
          <w:tcPr>
            <w:tcW w:w="1057" w:type="dxa"/>
            <w:vMerge w:val="continue"/>
            <w:tcBorders>
              <w:left w:val="single" w:color="auto" w:sz="4" w:space="0"/>
              <w:bottom w:val="single" w:color="auto" w:sz="4" w:space="0"/>
              <w:right w:val="single" w:color="auto" w:sz="4" w:space="0"/>
            </w:tcBorders>
          </w:tcPr>
          <w:p>
            <w:pPr>
              <w:widowControl/>
              <w:rPr>
                <w:rFonts w:cs="宋体"/>
                <w:kern w:val="0"/>
                <w:sz w:val="22"/>
                <w:szCs w:val="22"/>
              </w:rPr>
            </w:pPr>
          </w:p>
        </w:tc>
        <w:tc>
          <w:tcPr>
            <w:tcW w:w="26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全面规范董事会建设，建立职业经理人制度，形成以选聘制、任期制为主要方式的国有企业领导人管理体制。区分基础支撑、战略引导、公共服务等不同功能定位，探索建立国有企业分类监管制度。</w:t>
            </w:r>
          </w:p>
        </w:tc>
        <w:tc>
          <w:tcPr>
            <w:tcW w:w="3544"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通过改进国有企业领导人员选拔任用工作、采取多种市场化方式选聘企业经营管理者，探索由企业董事会对经理层实行契约化管理，推进职业经理人制度建设。界定不同国有企业功能并建立分类监管制度。</w:t>
            </w:r>
          </w:p>
        </w:tc>
        <w:tc>
          <w:tcPr>
            <w:tcW w:w="235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hAnsi="宋体" w:cs="宋体"/>
                <w:kern w:val="0"/>
                <w:sz w:val="22"/>
                <w:szCs w:val="22"/>
              </w:rPr>
              <w:t>（一）制定关于深化国有企业负责人薪酬制度改革实施方案。</w:t>
            </w:r>
          </w:p>
          <w:p>
            <w:pPr>
              <w:widowControl/>
              <w:rPr>
                <w:rFonts w:cs="宋体"/>
                <w:kern w:val="0"/>
                <w:sz w:val="22"/>
                <w:szCs w:val="22"/>
              </w:rPr>
            </w:pPr>
            <w:r>
              <w:rPr>
                <w:rFonts w:hint="eastAsia" w:hAnsi="宋体" w:cs="宋体"/>
                <w:kern w:val="0"/>
                <w:sz w:val="22"/>
                <w:szCs w:val="22"/>
              </w:rPr>
              <w:t>（二）制定市国资委监管企业功能界定与分类实施方案。</w:t>
            </w:r>
          </w:p>
          <w:p>
            <w:pPr>
              <w:widowControl/>
              <w:rPr>
                <w:rFonts w:cs="宋体"/>
                <w:kern w:val="0"/>
                <w:sz w:val="22"/>
                <w:szCs w:val="22"/>
              </w:rPr>
            </w:pPr>
            <w:r>
              <w:rPr>
                <w:rFonts w:hint="eastAsia" w:hAnsi="宋体" w:cs="宋体"/>
                <w:kern w:val="0"/>
                <w:sz w:val="22"/>
                <w:szCs w:val="22"/>
              </w:rPr>
              <w:t>（三）制定国有企业建立职业经理人制度的实施办法。</w:t>
            </w:r>
          </w:p>
        </w:tc>
      </w:tr>
    </w:tbl>
    <w:p>
      <w:pPr>
        <w:adjustRightInd w:val="0"/>
        <w:snapToGrid w:val="0"/>
        <w:spacing w:line="440" w:lineRule="exact"/>
        <w:ind w:firstLine="640"/>
        <w:rPr>
          <w:rFonts w:eastAsia="仿宋_GB2312"/>
          <w:sz w:val="30"/>
          <w:szCs w:val="30"/>
        </w:rPr>
      </w:pPr>
    </w:p>
    <w:p>
      <w:pPr>
        <w:pStyle w:val="27"/>
        <w:spacing w:before="0" w:after="0" w:line="440" w:lineRule="exact"/>
        <w:ind w:firstLine="590" w:firstLineChars="196"/>
        <w:rPr>
          <w:sz w:val="30"/>
          <w:szCs w:val="30"/>
        </w:rPr>
      </w:pPr>
      <w:bookmarkStart w:id="54" w:name="_Toc4144"/>
      <w:bookmarkStart w:id="55" w:name="_Toc456447945"/>
      <w:bookmarkStart w:id="56" w:name="_Toc456552703"/>
      <w:r>
        <w:rPr>
          <w:rFonts w:hint="eastAsia"/>
          <w:sz w:val="30"/>
          <w:szCs w:val="30"/>
        </w:rPr>
        <w:t>（四）深化投融资体制改革</w:t>
      </w:r>
      <w:bookmarkEnd w:id="54"/>
      <w:bookmarkEnd w:id="55"/>
      <w:bookmarkEnd w:id="56"/>
    </w:p>
    <w:p>
      <w:pPr>
        <w:spacing w:line="440" w:lineRule="exact"/>
        <w:ind w:firstLine="640"/>
        <w:rPr>
          <w:rFonts w:eastAsia="仿宋" w:cs="仿宋"/>
          <w:bCs/>
          <w:sz w:val="30"/>
          <w:szCs w:val="30"/>
        </w:rPr>
      </w:pPr>
      <w:r>
        <w:rPr>
          <w:rFonts w:hint="eastAsia" w:eastAsia="仿宋" w:cs="Arial"/>
          <w:sz w:val="30"/>
          <w:szCs w:val="30"/>
        </w:rPr>
        <w:t>深化政府投融资公司体制改革。以理顺职能、理顺体制、理顺资产为重点，以清理整合、注资增信、转型发展、科学监管为主要实施路径，推动政府投融资平台向现代企业转型、向集团化方向发展，由依赖财政性融资向政府引导的市场化融资转变，推动融资模式从市财政主导、“借用还”分离向企业主导、“借用还”一体化转型，建立产业投资集团有限公司、经济技术开发区投资控股有限责任公司等若干专业性投资集团。推动设立政府参股新兴产业创业投资基金，以基金运作模式引导民间资本投向创新型企</w:t>
      </w:r>
      <w:r>
        <w:rPr>
          <w:rFonts w:hint="eastAsia" w:eastAsia="仿宋" w:cs="仿宋"/>
          <w:bCs/>
          <w:sz w:val="30"/>
          <w:szCs w:val="30"/>
        </w:rPr>
        <w:t>业。建立透明规范的城市建设投融资机制，加快出台政府特许经营权管理办法，</w:t>
      </w:r>
      <w:r>
        <w:rPr>
          <w:rFonts w:hint="eastAsia" w:eastAsia="仿宋" w:cs="Arial"/>
          <w:sz w:val="30"/>
          <w:szCs w:val="30"/>
        </w:rPr>
        <w:t>积极推广</w:t>
      </w:r>
      <w:r>
        <w:rPr>
          <w:rFonts w:eastAsia="仿宋" w:cs="Arial"/>
          <w:sz w:val="30"/>
          <w:szCs w:val="30"/>
        </w:rPr>
        <w:t>PPP</w:t>
      </w:r>
      <w:r>
        <w:rPr>
          <w:rFonts w:hint="eastAsia" w:eastAsia="仿宋" w:cs="Arial"/>
          <w:sz w:val="30"/>
          <w:szCs w:val="30"/>
        </w:rPr>
        <w:t>模式，鼓励和吸引社会资本以合资、独资、特许经营等方式参与建设运营。</w:t>
      </w:r>
    </w:p>
    <w:p>
      <w:pPr>
        <w:spacing w:line="440" w:lineRule="exact"/>
        <w:ind w:firstLine="640"/>
        <w:rPr>
          <w:rFonts w:eastAsia="仿宋" w:cs="仿宋"/>
          <w:bCs/>
          <w:sz w:val="30"/>
          <w:szCs w:val="30"/>
        </w:rPr>
      </w:pPr>
      <w:r>
        <w:rPr>
          <w:rFonts w:hint="eastAsia" w:eastAsia="仿宋" w:cs="仿宋"/>
          <w:bCs/>
          <w:sz w:val="30"/>
          <w:szCs w:val="30"/>
        </w:rPr>
        <w:t>健全充分利用多层次资本市场的机制</w:t>
      </w:r>
      <w:r>
        <w:rPr>
          <w:rFonts w:hint="eastAsia" w:eastAsia="仿宋"/>
          <w:bCs/>
          <w:sz w:val="30"/>
          <w:szCs w:val="30"/>
        </w:rPr>
        <w:t>。</w:t>
      </w:r>
      <w:r>
        <w:rPr>
          <w:rFonts w:hint="eastAsia" w:eastAsia="仿宋" w:cs="仿宋"/>
          <w:bCs/>
          <w:sz w:val="30"/>
          <w:szCs w:val="30"/>
        </w:rPr>
        <w:t>引进培育各类风险投资基金、创业基金、并购基金、产业投资基金及各类资产管理公司，</w:t>
      </w:r>
      <w:r>
        <w:rPr>
          <w:rFonts w:hint="eastAsia" w:eastAsia="仿宋"/>
          <w:bCs/>
          <w:sz w:val="30"/>
          <w:szCs w:val="30"/>
        </w:rPr>
        <w:t>鼓励民间资本发起设立创业基金。进一步实施“引金</w:t>
      </w:r>
      <w:r>
        <w:rPr>
          <w:rFonts w:hint="eastAsia" w:eastAsia="仿宋" w:cs="仿宋"/>
          <w:bCs/>
          <w:sz w:val="30"/>
          <w:szCs w:val="30"/>
        </w:rPr>
        <w:t>入桂”工程，吸引境内外金融机构在桂林设立地区总部和专业机构。完善现有投融资公司法人治理结构，不断提高其投融资能力和资金运用效率。推进桂林国际旅游胜地基金、胜地银行以及金融租赁、保险公司等法人金融机构建设。扩大直接融资比例，鼓励引导我市企业利用多层次、境内外资本市场直接融资，争取更多企业在主板、创业板、新三板上市和再融资。设立中小企业发展基金，引导更多民间资本进入实体经济领域。改善企业融资环境，健全中小企业信用担保机构，完善中小企业信贷体系，鼓励更多的民营担保机构开展中小企业的融资担保业务，建立财政资金对担保机构的风险补偿机制。推动建立金融讲师团制度，增强企业、居民、党政干部的投融资意识和参与投融资活动的能力。建立政银企沟通制度，建立考评、激励机制，鼓励金融和投融资机构服务实体经济。推进农村金融改革，支持各类金融组织在农村设立分支机构和服务网点，积极发展村镇银行等农村新型金融机构，努力构建多层次的农村金融服务体系。出台农业贷款项目实施补贴、税收、优惠利率等政策，通过农业保险分散农村金融的风险，提高农业融资能力。大力培育和规范各类中介服务机构。加强监管，建立健全风险控制机制，防范投融资风险。</w:t>
      </w:r>
    </w:p>
    <w:p>
      <w:pPr>
        <w:spacing w:line="440" w:lineRule="exact"/>
        <w:ind w:firstLine="640"/>
        <w:rPr>
          <w:rFonts w:eastAsia="仿宋" w:cs="仿宋"/>
          <w:bCs/>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6</w:t>
      </w:r>
      <w:r>
        <w:rPr>
          <w:rFonts w:hint="eastAsia" w:eastAsia="仿宋"/>
          <w:b/>
          <w:sz w:val="30"/>
          <w:szCs w:val="30"/>
        </w:rPr>
        <w:t>：</w:t>
      </w:r>
      <w:r>
        <w:rPr>
          <w:rFonts w:hint="eastAsia"/>
          <w:b/>
          <w:sz w:val="30"/>
          <w:szCs w:val="30"/>
        </w:rPr>
        <w:t>投融资体制重点改革项目</w:t>
      </w:r>
    </w:p>
    <w:tbl>
      <w:tblPr>
        <w:tblStyle w:val="16"/>
        <w:tblW w:w="9594" w:type="dxa"/>
        <w:tblInd w:w="95" w:type="dxa"/>
        <w:tblLayout w:type="fixed"/>
        <w:tblCellMar>
          <w:top w:w="0" w:type="dxa"/>
          <w:left w:w="108" w:type="dxa"/>
          <w:bottom w:w="0" w:type="dxa"/>
          <w:right w:w="108" w:type="dxa"/>
        </w:tblCellMar>
      </w:tblPr>
      <w:tblGrid>
        <w:gridCol w:w="5"/>
        <w:gridCol w:w="1056"/>
        <w:gridCol w:w="2641"/>
        <w:gridCol w:w="3542"/>
        <w:gridCol w:w="2350"/>
      </w:tblGrid>
      <w:tr>
        <w:tblPrEx>
          <w:tblLayout w:type="fixed"/>
          <w:tblCellMar>
            <w:top w:w="0" w:type="dxa"/>
            <w:left w:w="108" w:type="dxa"/>
            <w:bottom w:w="0" w:type="dxa"/>
            <w:right w:w="108" w:type="dxa"/>
          </w:tblCellMar>
        </w:tblPrEx>
        <w:trPr>
          <w:trHeight w:val="451" w:hRule="atLeast"/>
        </w:trPr>
        <w:tc>
          <w:tcPr>
            <w:tcW w:w="106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64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54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0"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036" w:hRule="atLeast"/>
        </w:trPr>
        <w:tc>
          <w:tcPr>
            <w:tcW w:w="1061" w:type="dxa"/>
            <w:gridSpan w:val="2"/>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cs="宋体"/>
                <w:kern w:val="0"/>
                <w:sz w:val="22"/>
                <w:szCs w:val="22"/>
              </w:rPr>
              <w:t>深化投融资体制改革</w:t>
            </w:r>
          </w:p>
        </w:tc>
        <w:tc>
          <w:tcPr>
            <w:tcW w:w="264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设立中小企业发展基金，引导更多民间资本进入实体经济领域。</w:t>
            </w:r>
          </w:p>
        </w:tc>
        <w:tc>
          <w:tcPr>
            <w:tcW w:w="35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运用中小企业发展基金，与有经验有实力的创业投资公司合作，投资我市符合产业政策、市场前景广阔的科技型、成长型中小企业，最终走向资本市场；投资于我市处于种子期、初创期的科技型、创新型、创业型小微企业，扶持企业快速成长壮大。</w:t>
            </w:r>
          </w:p>
        </w:tc>
        <w:tc>
          <w:tcPr>
            <w:tcW w:w="2350"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出台中小企业发展基金管理办法。</w:t>
            </w:r>
          </w:p>
        </w:tc>
      </w:tr>
      <w:tr>
        <w:tblPrEx>
          <w:tblLayout w:type="fixed"/>
          <w:tblCellMar>
            <w:top w:w="0" w:type="dxa"/>
            <w:left w:w="108" w:type="dxa"/>
            <w:bottom w:w="0" w:type="dxa"/>
            <w:right w:w="108" w:type="dxa"/>
          </w:tblCellMar>
        </w:tblPrEx>
        <w:trPr>
          <w:gridBefore w:val="1"/>
          <w:wBefore w:w="5" w:type="dxa"/>
          <w:trHeight w:val="1036" w:hRule="atLeast"/>
        </w:trPr>
        <w:tc>
          <w:tcPr>
            <w:tcW w:w="1056"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cs="宋体"/>
                <w:kern w:val="0"/>
                <w:sz w:val="22"/>
                <w:szCs w:val="22"/>
              </w:rPr>
              <w:t>市级投融资公司改革整合</w:t>
            </w:r>
          </w:p>
        </w:tc>
        <w:tc>
          <w:tcPr>
            <w:tcW w:w="264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理顺政府与投融资公司的关系，调整优化投融资公司布局结构；着力强化投融资公司市场主体地位，加快转型重组，创新投融资公司运行机制，做强做大市级投融资公司。</w:t>
            </w:r>
          </w:p>
        </w:tc>
        <w:tc>
          <w:tcPr>
            <w:tcW w:w="35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采取保留充实做强做大、优化结构整合重组、突出优势组建等形式，改革政府投融资公司，为全市经济建设和社会发展提供有力支撑。</w:t>
            </w:r>
          </w:p>
        </w:tc>
        <w:tc>
          <w:tcPr>
            <w:tcW w:w="2350"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制定出台桂林市市级投融资公司改革整合方案。</w:t>
            </w:r>
          </w:p>
        </w:tc>
      </w:tr>
      <w:tr>
        <w:tblPrEx>
          <w:tblLayout w:type="fixed"/>
          <w:tblCellMar>
            <w:top w:w="0" w:type="dxa"/>
            <w:left w:w="108" w:type="dxa"/>
            <w:bottom w:w="0" w:type="dxa"/>
            <w:right w:w="108" w:type="dxa"/>
          </w:tblCellMar>
        </w:tblPrEx>
        <w:trPr>
          <w:gridBefore w:val="1"/>
          <w:wBefore w:w="5" w:type="dxa"/>
          <w:trHeight w:val="1036" w:hRule="atLeast"/>
        </w:trPr>
        <w:tc>
          <w:tcPr>
            <w:tcW w:w="1056"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cs="宋体"/>
                <w:kern w:val="0"/>
                <w:sz w:val="22"/>
                <w:szCs w:val="22"/>
              </w:rPr>
              <w:t>农村金融改革</w:t>
            </w:r>
          </w:p>
        </w:tc>
        <w:tc>
          <w:tcPr>
            <w:tcW w:w="264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努力构建多层次的农村金融服务体系。</w:t>
            </w:r>
          </w:p>
        </w:tc>
        <w:tc>
          <w:tcPr>
            <w:tcW w:w="35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构建多层次的农村金融服务体系。出台农业贷款项目实施补贴、税收、优惠利率等政策，通过农业保险分散农村金融的风险，提高农业融资能力。</w:t>
            </w:r>
          </w:p>
        </w:tc>
        <w:tc>
          <w:tcPr>
            <w:tcW w:w="2350"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出台农村金融改革系列文件</w:t>
            </w:r>
          </w:p>
        </w:tc>
      </w:tr>
    </w:tbl>
    <w:p>
      <w:pPr>
        <w:spacing w:line="440" w:lineRule="exact"/>
        <w:ind w:firstLine="640"/>
        <w:rPr>
          <w:rFonts w:eastAsia="仿宋_GB2312"/>
          <w:sz w:val="30"/>
          <w:szCs w:val="30"/>
        </w:rPr>
      </w:pPr>
    </w:p>
    <w:p>
      <w:pPr>
        <w:pStyle w:val="27"/>
        <w:spacing w:before="0" w:line="440" w:lineRule="exact"/>
        <w:ind w:firstLine="590" w:firstLineChars="196"/>
        <w:rPr>
          <w:sz w:val="30"/>
          <w:szCs w:val="30"/>
        </w:rPr>
      </w:pPr>
      <w:bookmarkStart w:id="57" w:name="_Toc24626"/>
      <w:bookmarkStart w:id="58" w:name="_Toc456447946"/>
      <w:bookmarkStart w:id="59" w:name="_Toc456552704"/>
      <w:r>
        <w:rPr>
          <w:rFonts w:hint="eastAsia"/>
          <w:sz w:val="30"/>
          <w:szCs w:val="30"/>
        </w:rPr>
        <w:t>（五）完善实体经济发展体制机制</w:t>
      </w:r>
      <w:bookmarkEnd w:id="57"/>
      <w:bookmarkEnd w:id="58"/>
      <w:bookmarkEnd w:id="59"/>
    </w:p>
    <w:p>
      <w:pPr>
        <w:adjustRightInd w:val="0"/>
        <w:snapToGrid w:val="0"/>
        <w:spacing w:line="440" w:lineRule="exact"/>
        <w:rPr>
          <w:rFonts w:eastAsia="仿宋"/>
          <w:bCs/>
          <w:sz w:val="30"/>
          <w:szCs w:val="30"/>
        </w:rPr>
      </w:pPr>
      <w:r>
        <w:rPr>
          <w:rFonts w:hint="eastAsia" w:eastAsia="仿宋"/>
          <w:b/>
          <w:bCs/>
          <w:sz w:val="30"/>
          <w:szCs w:val="30"/>
        </w:rPr>
        <w:t>进行混合所有制改革。</w:t>
      </w:r>
      <w:r>
        <w:rPr>
          <w:rFonts w:hint="eastAsia" w:eastAsia="仿宋"/>
          <w:bCs/>
          <w:sz w:val="30"/>
          <w:szCs w:val="30"/>
        </w:rPr>
        <w:t>把混合所有制经济作为基本经济制度的重要实现形式。健全现代产权制度，依法保护各种所有制经济产权和合法权益。充分利用产权市场和证券市场，通过出资入股、收购股权、设立股权、投资基金、员工持股等多种形式，大力发展新型混合所有制经济，推动国有资本、集体资本、非公有资本互相融合、优势互补、共同发展。</w:t>
      </w:r>
      <w:r>
        <w:rPr>
          <w:rFonts w:hint="eastAsia" w:eastAsia="仿宋"/>
          <w:sz w:val="30"/>
          <w:szCs w:val="30"/>
        </w:rPr>
        <w:t>积极引入养老基金、保险基金和社保基金等社会资本参与桂林市重点工程项目投资。推进各类资本融合设立股权投资基金。</w:t>
      </w:r>
    </w:p>
    <w:p>
      <w:pPr>
        <w:spacing w:line="440" w:lineRule="exact"/>
        <w:ind w:firstLine="640"/>
        <w:rPr>
          <w:rFonts w:eastAsia="仿宋"/>
          <w:bCs/>
          <w:sz w:val="30"/>
          <w:szCs w:val="30"/>
        </w:rPr>
      </w:pPr>
      <w:r>
        <w:rPr>
          <w:rFonts w:hint="eastAsia" w:eastAsia="仿宋"/>
          <w:b/>
          <w:bCs/>
          <w:sz w:val="30"/>
          <w:szCs w:val="30"/>
        </w:rPr>
        <w:t>支持非公有制经济跨越发展。</w:t>
      </w:r>
      <w:r>
        <w:rPr>
          <w:rFonts w:hint="eastAsia" w:eastAsia="仿宋"/>
          <w:bCs/>
          <w:sz w:val="30"/>
          <w:szCs w:val="30"/>
        </w:rPr>
        <w:t>进一步优化非公有制经济发展环境，完善进一步促进非公有制经济跨越发展的政策措施。坚持权利平等、机会平等、规则平等，全面废除对非公有制经济各种形式的不合理规定，健全非公有制经济服务体系，完善金融税收、信用担保、技术创新等方面的政策，降低非公有制企业创业创新的风险和成本。进一步放宽市场准入、支持非公有制资本参与重大项目建设，鼓励非公有制企业向各类开发区等专业园区集聚发展，支持非公有制企业改制上市、债券融资、科技创新等不断做强做大。大力培育商会、行业协会组织，建立非公有制自律机制。</w:t>
      </w: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7</w:t>
      </w:r>
      <w:r>
        <w:rPr>
          <w:rFonts w:hint="eastAsia" w:eastAsia="仿宋"/>
          <w:b/>
          <w:sz w:val="30"/>
          <w:szCs w:val="30"/>
        </w:rPr>
        <w:t>：</w:t>
      </w:r>
      <w:r>
        <w:rPr>
          <w:rFonts w:hint="eastAsia"/>
          <w:b/>
          <w:sz w:val="30"/>
          <w:szCs w:val="30"/>
        </w:rPr>
        <w:t>实体经济发展体制机制重点改革项目</w:t>
      </w:r>
    </w:p>
    <w:tbl>
      <w:tblPr>
        <w:tblStyle w:val="16"/>
        <w:tblW w:w="9594" w:type="dxa"/>
        <w:tblInd w:w="95" w:type="dxa"/>
        <w:tblLayout w:type="fixed"/>
        <w:tblCellMar>
          <w:top w:w="0" w:type="dxa"/>
          <w:left w:w="108" w:type="dxa"/>
          <w:bottom w:w="0" w:type="dxa"/>
          <w:right w:w="108" w:type="dxa"/>
        </w:tblCellMar>
      </w:tblPr>
      <w:tblGrid>
        <w:gridCol w:w="1057"/>
        <w:gridCol w:w="2642"/>
        <w:gridCol w:w="3544"/>
        <w:gridCol w:w="2351"/>
      </w:tblGrid>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64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完善实体经济发展体制机制</w:t>
            </w:r>
          </w:p>
        </w:tc>
        <w:tc>
          <w:tcPr>
            <w:tcW w:w="2642"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大力培育商会、行业协会组织，建立非公有制自律机制。</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制定进一步培育和发展行业协会商会实施方案，明确责任、分阶段、分步骤推进改革实施，促进行业协会商会快速健康发展，促进非公有制企业建立自律机制。</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制定培育和推进行业协会商会发展实施方案。</w:t>
            </w:r>
          </w:p>
        </w:tc>
      </w:tr>
      <w:tr>
        <w:tblPrEx>
          <w:tblLayout w:type="fixed"/>
          <w:tblCellMar>
            <w:top w:w="0" w:type="dxa"/>
            <w:left w:w="108" w:type="dxa"/>
            <w:bottom w:w="0" w:type="dxa"/>
            <w:right w:w="108" w:type="dxa"/>
          </w:tblCellMar>
        </w:tblPrEx>
        <w:trPr>
          <w:trHeight w:val="708"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cs="宋体"/>
                <w:kern w:val="0"/>
                <w:sz w:val="22"/>
                <w:szCs w:val="22"/>
              </w:rPr>
              <w:t>完善混合所有制发展的机制</w:t>
            </w:r>
          </w:p>
        </w:tc>
        <w:tc>
          <w:tcPr>
            <w:tcW w:w="26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健全现代产权制度，大力发展新型混合所有制经济，推动国有资本、集体资本、非公有资本互相融合、优势互补、共同发展。</w:t>
            </w:r>
          </w:p>
        </w:tc>
        <w:tc>
          <w:tcPr>
            <w:tcW w:w="3544"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根据不同企业的功能定位，结合企业实际确定适当的国有股权比例，优化国有企业股权结构。引入非国有资本和股权投资基金参与国有企业改革和项目投资。鼓励国有资本投资非国有企业，允许混合所有制企业员工持股。</w:t>
            </w:r>
          </w:p>
        </w:tc>
        <w:tc>
          <w:tcPr>
            <w:tcW w:w="235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（一）制定落实国家和自治区关于非公有制企业进入特许经营领域的具体实施办法。（二）制定关于我市混合所有制企业员工持股的试点方案。</w:t>
            </w:r>
          </w:p>
        </w:tc>
      </w:tr>
      <w:tr>
        <w:tblPrEx>
          <w:tblLayout w:type="fixed"/>
          <w:tblCellMar>
            <w:top w:w="0" w:type="dxa"/>
            <w:left w:w="108" w:type="dxa"/>
            <w:bottom w:w="0" w:type="dxa"/>
            <w:right w:w="108" w:type="dxa"/>
          </w:tblCellMar>
        </w:tblPrEx>
        <w:trPr>
          <w:trHeight w:val="1036" w:hRule="atLeast"/>
        </w:trPr>
        <w:tc>
          <w:tcPr>
            <w:tcW w:w="1057" w:type="dxa"/>
            <w:tcBorders>
              <w:top w:val="single" w:color="auto" w:sz="4" w:space="0"/>
              <w:left w:val="single" w:color="auto" w:sz="4" w:space="0"/>
              <w:bottom w:val="single" w:color="auto" w:sz="4" w:space="0"/>
              <w:right w:val="single" w:color="auto" w:sz="4" w:space="0"/>
            </w:tcBorders>
          </w:tcPr>
          <w:p>
            <w:pPr>
              <w:widowControl/>
              <w:rPr>
                <w:rFonts w:cs="宋体"/>
                <w:kern w:val="0"/>
                <w:sz w:val="22"/>
                <w:szCs w:val="22"/>
              </w:rPr>
            </w:pPr>
            <w:r>
              <w:rPr>
                <w:rFonts w:hint="eastAsia" w:cs="宋体"/>
                <w:kern w:val="0"/>
                <w:sz w:val="22"/>
                <w:szCs w:val="22"/>
              </w:rPr>
              <w:t>完善促进非公经济跨越发展的政策体系</w:t>
            </w:r>
          </w:p>
        </w:tc>
        <w:tc>
          <w:tcPr>
            <w:tcW w:w="2642"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全面废除对非公有制经济各种形式的不合理规定，健全非公有制经济服务体系，完善金融税收、信用担保、技术创新等方面的政策，降低非公有制企业创业创新的风险和成本。</w:t>
            </w:r>
          </w:p>
        </w:tc>
        <w:tc>
          <w:tcPr>
            <w:tcW w:w="3544"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通过法制化建设，营造非公有制经济良好的发展环境，维护非公有制企业合法权益；按照自治区规定明确有关部门建立统计非公有制经济发展数据职责，定期汇总、分析非公有制经济运行情况，促进非公有制企业健康发展。</w:t>
            </w:r>
          </w:p>
        </w:tc>
        <w:tc>
          <w:tcPr>
            <w:tcW w:w="2351" w:type="dxa"/>
            <w:tcBorders>
              <w:top w:val="single" w:color="auto" w:sz="4" w:space="0"/>
              <w:left w:val="nil"/>
              <w:bottom w:val="single" w:color="auto" w:sz="4" w:space="0"/>
              <w:right w:val="single" w:color="auto" w:sz="4" w:space="0"/>
            </w:tcBorders>
          </w:tcPr>
          <w:p>
            <w:pPr>
              <w:widowControl/>
              <w:rPr>
                <w:rFonts w:cs="宋体"/>
                <w:kern w:val="0"/>
                <w:sz w:val="22"/>
                <w:szCs w:val="22"/>
              </w:rPr>
            </w:pPr>
            <w:r>
              <w:rPr>
                <w:rFonts w:hint="eastAsia" w:cs="宋体"/>
                <w:kern w:val="0"/>
                <w:sz w:val="22"/>
                <w:szCs w:val="22"/>
              </w:rPr>
              <w:t>（一）制定落实国家和自治区关于非公有制企业进入特许经营领域的具体实施办法。（二）建立桂林非公有制经济发展统计指标体系。</w:t>
            </w:r>
          </w:p>
        </w:tc>
      </w:tr>
    </w:tbl>
    <w:p>
      <w:pPr>
        <w:spacing w:line="440" w:lineRule="exact"/>
        <w:ind w:firstLine="640"/>
        <w:rPr>
          <w:rFonts w:eastAsia="仿宋"/>
          <w:bCs/>
          <w:sz w:val="30"/>
          <w:szCs w:val="30"/>
        </w:rPr>
      </w:pPr>
    </w:p>
    <w:p>
      <w:pPr>
        <w:pStyle w:val="27"/>
        <w:spacing w:before="0" w:after="0" w:line="440" w:lineRule="exact"/>
        <w:ind w:firstLine="590" w:firstLineChars="196"/>
        <w:rPr>
          <w:sz w:val="30"/>
          <w:szCs w:val="30"/>
        </w:rPr>
      </w:pPr>
      <w:bookmarkStart w:id="60" w:name="_Toc456552705"/>
      <w:bookmarkStart w:id="61" w:name="_Toc1387"/>
      <w:bookmarkStart w:id="62" w:name="_Toc456447947"/>
      <w:r>
        <w:rPr>
          <w:rFonts w:hint="eastAsia"/>
          <w:sz w:val="30"/>
          <w:szCs w:val="30"/>
        </w:rPr>
        <w:t>（六）健全桂林特色产业体系培育发展机制</w:t>
      </w:r>
      <w:bookmarkEnd w:id="60"/>
      <w:bookmarkEnd w:id="61"/>
      <w:bookmarkEnd w:id="62"/>
    </w:p>
    <w:p>
      <w:pPr>
        <w:adjustRightInd w:val="0"/>
        <w:snapToGrid w:val="0"/>
        <w:spacing w:line="440" w:lineRule="exact"/>
        <w:ind w:firstLine="652"/>
        <w:rPr>
          <w:rFonts w:eastAsia="仿宋"/>
          <w:bCs/>
          <w:sz w:val="30"/>
          <w:szCs w:val="30"/>
        </w:rPr>
      </w:pPr>
      <w:r>
        <w:rPr>
          <w:rFonts w:hint="eastAsia" w:eastAsia="仿宋"/>
          <w:sz w:val="30"/>
          <w:szCs w:val="30"/>
        </w:rPr>
        <w:t>创新特色产业集群发展的体制机制。实施重振桂林工业雄风行动计划。</w:t>
      </w:r>
      <w:r>
        <w:rPr>
          <w:rFonts w:hint="eastAsia" w:eastAsia="仿宋"/>
          <w:bCs/>
          <w:sz w:val="30"/>
          <w:szCs w:val="30"/>
        </w:rPr>
        <w:t>创新产业集群发展的体制机制，促进资源向优势产业、特色产业和优势企业集中，引导产业、企业和项目向园区聚集，推进产业集聚、集群发展。强化产业规划布局引导机制，推动以电子信息、医药及生物制品、先进装备制造、生态食品四大优势产业为主体，以新能源、新材料、节能环保、养生健康四个战略性新兴产业为突破的产业发展格局。</w:t>
      </w:r>
    </w:p>
    <w:p>
      <w:pPr>
        <w:snapToGrid w:val="0"/>
        <w:spacing w:line="440" w:lineRule="exact"/>
        <w:ind w:firstLine="645"/>
        <w:rPr>
          <w:rFonts w:eastAsia="仿宋"/>
          <w:bCs/>
          <w:sz w:val="30"/>
          <w:szCs w:val="30"/>
        </w:rPr>
      </w:pPr>
      <w:bookmarkStart w:id="63" w:name="_Toc411881477"/>
      <w:r>
        <w:rPr>
          <w:rFonts w:hint="eastAsia" w:eastAsia="仿宋" w:cs="Arial"/>
          <w:bCs/>
          <w:sz w:val="30"/>
          <w:szCs w:val="30"/>
        </w:rPr>
        <w:t>推进园区体制改革</w:t>
      </w:r>
      <w:bookmarkEnd w:id="63"/>
      <w:r>
        <w:rPr>
          <w:rFonts w:hint="eastAsia" w:eastAsia="仿宋" w:cs="Arial"/>
          <w:bCs/>
          <w:sz w:val="30"/>
          <w:szCs w:val="30"/>
        </w:rPr>
        <w:t>。</w:t>
      </w:r>
      <w:r>
        <w:rPr>
          <w:rFonts w:hint="eastAsia" w:eastAsia="仿宋"/>
          <w:bCs/>
          <w:sz w:val="30"/>
          <w:szCs w:val="30"/>
        </w:rPr>
        <w:t>加快桂林经济技术开发区建设，与桂林国家高新区构建市区工业“两翼齐飞、双轮驱动”新格局。建立健全桂林经济技术开发区管理体制机制，积极申报国家级开发区。完善桂林国家高新区扩区强权政策，加快高新区信息产业园、创意产业园等专业园区发展，稳步推进县域工业集中区扩区升级。</w:t>
      </w:r>
      <w:r>
        <w:rPr>
          <w:rFonts w:hint="eastAsia" w:eastAsia="仿宋" w:cs="Arial"/>
          <w:sz w:val="30"/>
          <w:szCs w:val="30"/>
        </w:rPr>
        <w:t>创新园区开发机制，探索放开园区基础设施建设准入方式，创新园区公共服务供给方式，拓宽园区融资渠道，支持园区间合作共建，推进产城融合发展</w:t>
      </w:r>
      <w:r>
        <w:rPr>
          <w:rFonts w:hint="eastAsia" w:eastAsia="仿宋"/>
          <w:bCs/>
          <w:sz w:val="30"/>
          <w:szCs w:val="30"/>
        </w:rPr>
        <w:t>。建立完善全力推动生态建设产业化、产业发展生态化的制度体系。</w:t>
      </w:r>
    </w:p>
    <w:p>
      <w:pPr>
        <w:snapToGrid w:val="0"/>
        <w:spacing w:line="440" w:lineRule="exact"/>
        <w:ind w:firstLine="645"/>
        <w:rPr>
          <w:rFonts w:eastAsia="仿宋"/>
          <w:bCs/>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8</w:t>
      </w:r>
      <w:r>
        <w:rPr>
          <w:rFonts w:hint="eastAsia" w:eastAsia="仿宋"/>
          <w:b/>
          <w:sz w:val="30"/>
          <w:szCs w:val="30"/>
        </w:rPr>
        <w:t>：</w:t>
      </w:r>
      <w:r>
        <w:rPr>
          <w:rFonts w:hint="eastAsia"/>
          <w:b/>
          <w:sz w:val="30"/>
          <w:szCs w:val="30"/>
        </w:rPr>
        <w:t>园区体制重点改革项目</w:t>
      </w:r>
    </w:p>
    <w:tbl>
      <w:tblPr>
        <w:tblStyle w:val="16"/>
        <w:tblW w:w="9594" w:type="dxa"/>
        <w:tblInd w:w="95" w:type="dxa"/>
        <w:tblLayout w:type="fixed"/>
        <w:tblCellMar>
          <w:top w:w="0" w:type="dxa"/>
          <w:left w:w="108" w:type="dxa"/>
          <w:bottom w:w="0" w:type="dxa"/>
          <w:right w:w="108" w:type="dxa"/>
        </w:tblCellMar>
      </w:tblPr>
      <w:tblGrid>
        <w:gridCol w:w="1057"/>
        <w:gridCol w:w="2642"/>
        <w:gridCol w:w="3544"/>
        <w:gridCol w:w="2351"/>
      </w:tblGrid>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64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园区体制改革</w:t>
            </w:r>
          </w:p>
        </w:tc>
        <w:tc>
          <w:tcPr>
            <w:tcW w:w="2642"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理顺桂林经济技术开发区管理体制机制。</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建立和完善桂林</w:t>
            </w:r>
            <w:r>
              <w:rPr>
                <w:rFonts w:hint="eastAsia" w:cs="宋体"/>
                <w:kern w:val="0"/>
                <w:sz w:val="22"/>
                <w:szCs w:val="22"/>
                <w:lang w:eastAsia="zh-CN"/>
              </w:rPr>
              <w:t>经济技术开发区</w:t>
            </w:r>
            <w:r>
              <w:rPr>
                <w:rFonts w:hint="eastAsia" w:cs="宋体"/>
                <w:kern w:val="0"/>
                <w:sz w:val="22"/>
                <w:szCs w:val="22"/>
              </w:rPr>
              <w:t>管理体制机制，积极申报国家级开发区。</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完善桂林经济技术开发区管理体制。</w:t>
            </w:r>
          </w:p>
        </w:tc>
      </w:tr>
    </w:tbl>
    <w:p>
      <w:pPr>
        <w:snapToGrid w:val="0"/>
        <w:spacing w:line="440" w:lineRule="exact"/>
        <w:ind w:firstLine="645"/>
        <w:rPr>
          <w:rFonts w:eastAsia="仿宋_GB2312"/>
          <w:sz w:val="30"/>
          <w:szCs w:val="30"/>
          <w:shd w:val="clear" w:color="auto" w:fill="FFFFFF"/>
        </w:rPr>
      </w:pPr>
    </w:p>
    <w:p>
      <w:pPr>
        <w:pStyle w:val="27"/>
        <w:spacing w:before="0" w:after="0" w:line="440" w:lineRule="exact"/>
        <w:ind w:firstLine="590" w:firstLineChars="196"/>
        <w:rPr>
          <w:sz w:val="30"/>
          <w:szCs w:val="30"/>
        </w:rPr>
      </w:pPr>
      <w:bookmarkStart w:id="64" w:name="_Toc456552706"/>
      <w:bookmarkStart w:id="65" w:name="_Toc23346"/>
      <w:bookmarkStart w:id="66" w:name="_Toc456447949"/>
      <w:r>
        <w:rPr>
          <w:rFonts w:hint="eastAsia"/>
          <w:sz w:val="30"/>
          <w:szCs w:val="30"/>
        </w:rPr>
        <w:t>（七）完善开放合作体制机制</w:t>
      </w:r>
      <w:bookmarkEnd w:id="64"/>
      <w:bookmarkEnd w:id="65"/>
      <w:bookmarkEnd w:id="66"/>
    </w:p>
    <w:p>
      <w:pPr>
        <w:snapToGrid w:val="0"/>
        <w:spacing w:line="440" w:lineRule="exact"/>
        <w:ind w:firstLine="600" w:firstLineChars="200"/>
        <w:rPr>
          <w:rFonts w:eastAsia="仿宋_GB2312"/>
          <w:kern w:val="0"/>
          <w:sz w:val="30"/>
          <w:szCs w:val="30"/>
        </w:rPr>
      </w:pPr>
      <w:r>
        <w:rPr>
          <w:rFonts w:hint="eastAsia" w:eastAsia="仿宋"/>
          <w:bCs/>
          <w:sz w:val="30"/>
          <w:szCs w:val="30"/>
        </w:rPr>
        <w:t>建立推动桂林融入国家“一带一路”倡议和自治区“三大定位”的机制。深化面向东盟、对接港澳台、拓展欧美日韩的开放合作；利用中国</w:t>
      </w:r>
      <w:r>
        <w:rPr>
          <w:rFonts w:eastAsia="仿宋"/>
          <w:bCs/>
          <w:sz w:val="30"/>
          <w:szCs w:val="30"/>
        </w:rPr>
        <w:t>-</w:t>
      </w:r>
      <w:r>
        <w:rPr>
          <w:rFonts w:hint="eastAsia" w:eastAsia="仿宋"/>
          <w:bCs/>
          <w:sz w:val="30"/>
          <w:szCs w:val="30"/>
        </w:rPr>
        <w:t>东盟博览会旅游展等国际会展系列品牌，搭建具有区域特色、面向全球开放的旅游合作平台；主动参与西南中南地区开放发展新战略支点建设，探索建立与北部湾、珠三角、长株潭、成渝等重点经济区的合作机制；积极融入珠江</w:t>
      </w:r>
      <w:r>
        <w:rPr>
          <w:rFonts w:eastAsia="仿宋"/>
          <w:bCs/>
          <w:sz w:val="30"/>
          <w:szCs w:val="30"/>
        </w:rPr>
        <w:t>—</w:t>
      </w:r>
      <w:r>
        <w:rPr>
          <w:rFonts w:hint="eastAsia" w:eastAsia="仿宋"/>
          <w:bCs/>
          <w:sz w:val="30"/>
          <w:szCs w:val="30"/>
        </w:rPr>
        <w:t>西江经济带，构筑湘桂粤水运物流出海新通道，积极探索建设“湘桂湘江上游生态经济合作区”，加快实施桂贺一体化发展规划；大力推进高铁沿线城市的全方位合作，建设粤桂黔高铁经济带合作试验区广西园（桂林），打造一批铁路小镇。着力推进中高端旅游产品开发、旅游一体化和现代农业合作；鼓励企业、高等院校、科研院所积极参与国际交流合作。加快桂林两江机场航站楼扩建工程，增设国际航线、打造国际旅游交通枢纽。大力发展跨境电子商务，加快桂林电商谷建设，引进一批大型电子商务、国际金融服务、跨境物流等企业，建设电子口岸，努力争取“免税店”获批，争取建设桂林铁路国家一级口岸。改进招商模式，开展精准招商、专题招商，力争在现代服务业、旅游产业、现代农业、先进制造业等领域引进一批国内强优企业和世界</w:t>
      </w:r>
      <w:r>
        <w:rPr>
          <w:rFonts w:eastAsia="仿宋"/>
          <w:bCs/>
          <w:sz w:val="30"/>
          <w:szCs w:val="30"/>
        </w:rPr>
        <w:t>500</w:t>
      </w:r>
      <w:r>
        <w:rPr>
          <w:rFonts w:hint="eastAsia" w:eastAsia="仿宋"/>
          <w:bCs/>
          <w:sz w:val="30"/>
          <w:szCs w:val="30"/>
        </w:rPr>
        <w:t>强企业。大力实施“走出去”战略，推动引资、引技、引智相结合，鼓励优势企业到境外开展项目和技术合作、承包境外工程，发展对外劳务合作。</w:t>
      </w:r>
    </w:p>
    <w:p>
      <w:pPr>
        <w:pStyle w:val="3"/>
        <w:spacing w:line="440" w:lineRule="exact"/>
        <w:ind w:left="0" w:leftChars="0" w:firstLine="590" w:firstLineChars="196"/>
        <w:rPr>
          <w:rFonts w:ascii="Times New Roman" w:hAnsi="Times New Roman" w:eastAsia="黑体"/>
          <w:sz w:val="30"/>
          <w:szCs w:val="30"/>
        </w:rPr>
      </w:pPr>
      <w:bookmarkStart w:id="67" w:name="_Toc456447950"/>
      <w:bookmarkStart w:id="68" w:name="_Toc14839"/>
      <w:bookmarkStart w:id="69" w:name="_Toc456552707"/>
      <w:r>
        <w:rPr>
          <w:rFonts w:hint="eastAsia" w:ascii="Times New Roman" w:hAnsi="Times New Roman" w:eastAsia="黑体"/>
          <w:sz w:val="30"/>
          <w:szCs w:val="30"/>
        </w:rPr>
        <w:t>三、推进供给侧结构性改革，提升经济质量和效率</w:t>
      </w:r>
      <w:bookmarkEnd w:id="67"/>
      <w:bookmarkEnd w:id="68"/>
      <w:bookmarkEnd w:id="69"/>
    </w:p>
    <w:p>
      <w:pPr>
        <w:pStyle w:val="27"/>
        <w:spacing w:before="0" w:after="0" w:line="440" w:lineRule="exact"/>
        <w:ind w:firstLine="590" w:firstLineChars="196"/>
        <w:rPr>
          <w:sz w:val="30"/>
          <w:szCs w:val="30"/>
        </w:rPr>
      </w:pPr>
      <w:bookmarkStart w:id="70" w:name="_Toc456447951"/>
      <w:bookmarkStart w:id="71" w:name="_Toc456552708"/>
      <w:bookmarkStart w:id="72" w:name="_Toc11269"/>
      <w:r>
        <w:rPr>
          <w:rFonts w:hint="eastAsia"/>
          <w:sz w:val="30"/>
          <w:szCs w:val="30"/>
        </w:rPr>
        <w:t>（一）</w:t>
      </w:r>
      <w:bookmarkEnd w:id="70"/>
      <w:bookmarkEnd w:id="71"/>
      <w:r>
        <w:rPr>
          <w:rFonts w:hint="eastAsia"/>
          <w:sz w:val="30"/>
          <w:szCs w:val="30"/>
        </w:rPr>
        <w:t>落实各项供给侧结构性改革的措施</w:t>
      </w:r>
      <w:bookmarkEnd w:id="72"/>
    </w:p>
    <w:p>
      <w:pPr>
        <w:spacing w:line="440" w:lineRule="exact"/>
        <w:ind w:firstLine="600" w:firstLineChars="200"/>
        <w:rPr>
          <w:rFonts w:eastAsia="仿宋"/>
          <w:bCs/>
          <w:sz w:val="30"/>
          <w:szCs w:val="30"/>
        </w:rPr>
      </w:pPr>
      <w:r>
        <w:rPr>
          <w:rFonts w:hint="eastAsia" w:eastAsia="仿宋"/>
          <w:bCs/>
          <w:sz w:val="30"/>
          <w:szCs w:val="30"/>
        </w:rPr>
        <w:t>制定加快供给侧结构性改革的指导意见，制定实施去产能、去库存、去杠杆、降成本和补短板的行动方案。积极抓住国家相关激励、扶持政策，进一步淘汰落后产能，推进企业优胜劣汰、兼并重组，分类有序化解过剩产能和处置僵尸企业。采取切实措施，降低实体经济企业成本。建立健全房地产业健康发展调控机制，引导市场机制在化解房地产库存中发挥基础性作用。适应旅游发展的新要求，推动旅游产品转型升级。出台加快服务业发展的政策措施，加快补齐服务业发展短板。</w:t>
      </w:r>
    </w:p>
    <w:p>
      <w:pPr>
        <w:spacing w:line="440" w:lineRule="exact"/>
        <w:ind w:firstLine="600" w:firstLineChars="200"/>
        <w:rPr>
          <w:rFonts w:eastAsia="仿宋"/>
          <w:bCs/>
          <w:sz w:val="30"/>
          <w:szCs w:val="30"/>
        </w:rPr>
      </w:pPr>
      <w:r>
        <w:rPr>
          <w:rFonts w:hint="eastAsia" w:eastAsia="仿宋"/>
          <w:bCs/>
          <w:sz w:val="30"/>
          <w:szCs w:val="30"/>
        </w:rPr>
        <w:t>健全新业态新产业新空间培育发展机制。制定政策措施，推动互联网、云计算、物联网等与产业的深度融合，创新市场线上线下融合发展机制。改革行业准入、信用建设和市场监管体制，依法为众创、众筹、众扶、众包“四众”支撑平台发展营造政策环境。出台支持新产品、新业态等创新发展的措施。</w:t>
      </w:r>
    </w:p>
    <w:p>
      <w:pPr>
        <w:spacing w:line="440" w:lineRule="exact"/>
        <w:ind w:firstLine="600" w:firstLineChars="200"/>
        <w:rPr>
          <w:rFonts w:eastAsia="仿宋"/>
          <w:bCs/>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9</w:t>
      </w:r>
      <w:r>
        <w:rPr>
          <w:rFonts w:hint="eastAsia" w:eastAsia="仿宋"/>
          <w:b/>
          <w:sz w:val="30"/>
          <w:szCs w:val="30"/>
        </w:rPr>
        <w:t>：</w:t>
      </w:r>
      <w:r>
        <w:rPr>
          <w:rFonts w:hint="eastAsia"/>
          <w:b/>
          <w:sz w:val="30"/>
          <w:szCs w:val="30"/>
        </w:rPr>
        <w:t>供给侧结构性重点改革项目</w:t>
      </w:r>
    </w:p>
    <w:tbl>
      <w:tblPr>
        <w:tblStyle w:val="16"/>
        <w:tblW w:w="9594" w:type="dxa"/>
        <w:tblInd w:w="95" w:type="dxa"/>
        <w:tblLayout w:type="fixed"/>
        <w:tblCellMar>
          <w:top w:w="0" w:type="dxa"/>
          <w:left w:w="108" w:type="dxa"/>
          <w:bottom w:w="0" w:type="dxa"/>
          <w:right w:w="108" w:type="dxa"/>
        </w:tblCellMar>
      </w:tblPr>
      <w:tblGrid>
        <w:gridCol w:w="1057"/>
        <w:gridCol w:w="2642"/>
        <w:gridCol w:w="3544"/>
        <w:gridCol w:w="2351"/>
      </w:tblGrid>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64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改革成果</w:t>
            </w:r>
          </w:p>
        </w:tc>
      </w:tr>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供给侧结构性改革</w:t>
            </w:r>
          </w:p>
        </w:tc>
        <w:tc>
          <w:tcPr>
            <w:tcW w:w="2642"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推进供给侧结构性改革。</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实施去产能、去库存、去杠杆、降成本和补短板的行动。推进企业优胜劣汰、兼并重组，分类有序化解过剩产能和处置僵尸企业。推动旅游产品转型升级。</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（一）出台加快服务业发展的政策措施，加快补齐服务业发展短板（二）制定实施去产能、去库存、去杠杆、降成本和补短板的行动方案。</w:t>
            </w:r>
          </w:p>
        </w:tc>
      </w:tr>
    </w:tbl>
    <w:p>
      <w:pPr>
        <w:spacing w:line="440" w:lineRule="exact"/>
        <w:ind w:firstLine="600" w:firstLineChars="200"/>
        <w:rPr>
          <w:rFonts w:eastAsia="仿宋"/>
          <w:bCs/>
          <w:sz w:val="30"/>
          <w:szCs w:val="30"/>
        </w:rPr>
      </w:pPr>
    </w:p>
    <w:p>
      <w:pPr>
        <w:pStyle w:val="27"/>
        <w:spacing w:before="0" w:after="0" w:line="440" w:lineRule="exact"/>
        <w:ind w:firstLine="590" w:firstLineChars="196"/>
        <w:rPr>
          <w:sz w:val="30"/>
          <w:szCs w:val="30"/>
        </w:rPr>
      </w:pPr>
      <w:bookmarkStart w:id="73" w:name="_Toc456447952"/>
      <w:bookmarkStart w:id="74" w:name="_Toc456552709"/>
      <w:bookmarkStart w:id="75" w:name="_Toc24249"/>
      <w:r>
        <w:rPr>
          <w:rFonts w:hint="eastAsia"/>
          <w:sz w:val="30"/>
          <w:szCs w:val="30"/>
        </w:rPr>
        <w:t>（二）深化科技体制改革</w:t>
      </w:r>
      <w:bookmarkEnd w:id="73"/>
      <w:bookmarkEnd w:id="74"/>
      <w:bookmarkEnd w:id="75"/>
    </w:p>
    <w:p>
      <w:pPr>
        <w:spacing w:line="440" w:lineRule="exact"/>
        <w:ind w:firstLine="600" w:firstLineChars="200"/>
        <w:rPr>
          <w:rFonts w:eastAsia="仿宋"/>
          <w:bCs/>
          <w:sz w:val="30"/>
          <w:szCs w:val="30"/>
        </w:rPr>
      </w:pPr>
      <w:r>
        <w:rPr>
          <w:rFonts w:hint="eastAsia" w:eastAsia="仿宋"/>
          <w:bCs/>
          <w:sz w:val="30"/>
          <w:szCs w:val="30"/>
        </w:rPr>
        <w:t>通过理顺关系，明确职责，发挥各自的能力优势，整合互补性资源，实现各方的优势互补，构建形成政府引导，企业牵头，高校院所深度参与，产学研深度合作的协同创新新机制。健全促进科技成果转化的机制，完善科技成果使用、处置和收益管理制度，加大对科研人员转化科研成果的激励力度，构建服务支撑体系，打通成果转化通道。在促进高校院所技术转移和科技成果转化的体制机制上先行突破，赋予高等院校、科研院所科技成果转化自主权，大力鼓励、扶持转制科研院所科研人员创新创业。</w:t>
      </w:r>
    </w:p>
    <w:p>
      <w:pPr>
        <w:pStyle w:val="29"/>
        <w:spacing w:afterLines="50" w:line="440" w:lineRule="exact"/>
        <w:ind w:firstLine="600" w:firstLineChars="200"/>
        <w:rPr>
          <w:rFonts w:ascii="Times New Roman" w:hAnsi="Times New Roman" w:eastAsia="仿宋" w:cs="Times New Roman"/>
          <w:bCs/>
          <w:kern w:val="2"/>
          <w:sz w:val="30"/>
          <w:szCs w:val="30"/>
        </w:rPr>
      </w:pPr>
      <w:r>
        <w:rPr>
          <w:rFonts w:hint="eastAsia" w:ascii="Times New Roman" w:hAnsi="Times New Roman" w:eastAsia="仿宋" w:cs="Times New Roman"/>
          <w:bCs/>
          <w:kern w:val="2"/>
          <w:sz w:val="30"/>
          <w:szCs w:val="30"/>
        </w:rPr>
        <w:t>建立完善公开统一的桂林市科技管理平台，创新和完善科技计划和科技项目评估评审、遴选立项、过程管理和验收结题等全过程各环节管理体制。改进科研项目资金管理，进一步完善项目经费预算调整审批制度，赋予科研单位和科技人员更灵活的财政科研项目经费分配和使用自主权，积极探索后补助等科研经费资助方式，构建符合科研活动规律和财政预算管理要求的经费管理新机制。建立面向结果的科研经费使用绩效评价机制，构建科学合理的绩效评价指标体系和评价标准，制定科学的评价方法，对科研活动综合效益和影响进行考核和评价。强化科研信用管理，建立覆盖全过程的科研信用记录制度和奖惩制度。</w:t>
      </w:r>
    </w:p>
    <w:p>
      <w:pPr>
        <w:pStyle w:val="29"/>
        <w:spacing w:afterLines="50" w:line="440" w:lineRule="exact"/>
        <w:ind w:firstLine="600" w:firstLineChars="200"/>
        <w:rPr>
          <w:rFonts w:ascii="Times New Roman" w:hAnsi="Times New Roman" w:eastAsia="仿宋" w:cs="Times New Roman"/>
          <w:bCs/>
          <w:kern w:val="2"/>
          <w:sz w:val="30"/>
          <w:szCs w:val="30"/>
        </w:rPr>
      </w:pPr>
      <w:r>
        <w:rPr>
          <w:rFonts w:hint="eastAsia" w:ascii="Times New Roman" w:hAnsi="Times New Roman" w:eastAsia="仿宋" w:cs="Times New Roman"/>
          <w:bCs/>
          <w:kern w:val="2"/>
          <w:sz w:val="30"/>
          <w:szCs w:val="30"/>
        </w:rPr>
        <w:t>构建强有力的现代产业科技支撑体系。面向桂林四大优势产业，面向新一代信息技术等战略性新兴产业，以及桂林传统工业，面向以旅游业为龙头的服务业，制定政策，组织实施重大科技专项。支持开展重点领域关键环节的重大技术研发和成果应用，支持新一代信息技术向制造业各领域、各环节渗透融合，推动智能制造、“互联网</w:t>
      </w:r>
      <w:r>
        <w:rPr>
          <w:rFonts w:ascii="Times New Roman" w:hAnsi="Times New Roman" w:eastAsia="仿宋" w:cs="Times New Roman"/>
          <w:bCs/>
          <w:kern w:val="2"/>
          <w:sz w:val="30"/>
          <w:szCs w:val="30"/>
        </w:rPr>
        <w:t>+</w:t>
      </w:r>
      <w:r>
        <w:rPr>
          <w:rFonts w:hint="eastAsia" w:ascii="Times New Roman" w:hAnsi="Times New Roman" w:eastAsia="仿宋" w:cs="Times New Roman"/>
          <w:bCs/>
          <w:kern w:val="2"/>
          <w:sz w:val="30"/>
          <w:szCs w:val="30"/>
        </w:rPr>
        <w:t>”等新型生产方式和新业态发展，改造提升传统工业产业，推动桂林工业转型升级，重振桂林工业雄风。推动农业科技创新与应用，完善农业科技创新制度。改革重大科技专项实施办法，支持主导产业、骨干企业开展重点领域关键环节的重大技术研发，加快突破一批关键核心技术，研发一批具有自主知识产权的战略性新产品，形成更具竞争力的产业优势。</w:t>
      </w: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10</w:t>
      </w:r>
      <w:r>
        <w:rPr>
          <w:rFonts w:hint="eastAsia" w:eastAsia="仿宋"/>
          <w:b/>
          <w:sz w:val="30"/>
          <w:szCs w:val="30"/>
        </w:rPr>
        <w:t>：</w:t>
      </w:r>
      <w:r>
        <w:rPr>
          <w:rFonts w:hint="eastAsia"/>
          <w:b/>
          <w:sz w:val="30"/>
          <w:szCs w:val="30"/>
        </w:rPr>
        <w:t>科技体制重点改革项目</w:t>
      </w:r>
    </w:p>
    <w:tbl>
      <w:tblPr>
        <w:tblStyle w:val="16"/>
        <w:tblW w:w="9594" w:type="dxa"/>
        <w:tblInd w:w="95" w:type="dxa"/>
        <w:tblLayout w:type="fixed"/>
        <w:tblCellMar>
          <w:top w:w="0" w:type="dxa"/>
          <w:left w:w="108" w:type="dxa"/>
          <w:bottom w:w="0" w:type="dxa"/>
          <w:right w:w="108" w:type="dxa"/>
        </w:tblCellMar>
      </w:tblPr>
      <w:tblGrid>
        <w:gridCol w:w="1057"/>
        <w:gridCol w:w="2642"/>
        <w:gridCol w:w="3544"/>
        <w:gridCol w:w="2351"/>
      </w:tblGrid>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64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建设桂林自治区级自主创新示范区</w:t>
            </w:r>
          </w:p>
        </w:tc>
        <w:tc>
          <w:tcPr>
            <w:tcW w:w="2642"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在区域经济板块上率先探索出若干创新驱动产业转型升级的模式和典型。到</w:t>
            </w:r>
            <w:r>
              <w:rPr>
                <w:rFonts w:cs="宋体"/>
                <w:kern w:val="0"/>
                <w:sz w:val="22"/>
                <w:szCs w:val="22"/>
              </w:rPr>
              <w:t xml:space="preserve">2020 </w:t>
            </w:r>
            <w:r>
              <w:rPr>
                <w:rFonts w:hint="eastAsia" w:cs="宋体"/>
                <w:kern w:val="0"/>
                <w:sz w:val="22"/>
                <w:szCs w:val="22"/>
              </w:rPr>
              <w:t>年，自主创新示范区建设取得较大成效。</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通过对示范区创新驱动发展体制机制设计、产业发展规划导向、科技创新投入优化、企业创新能力提升的统筹引导和支持，探索形成符合创新驱动发展的新方法、新模式，提高创新资源的集聚能力和使用效率。</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制定出台桂林自治区级自主创新示范区建设总体方案。</w:t>
            </w:r>
          </w:p>
        </w:tc>
      </w:tr>
    </w:tbl>
    <w:p>
      <w:pPr>
        <w:pStyle w:val="29"/>
        <w:spacing w:afterLines="50" w:line="440" w:lineRule="exact"/>
        <w:ind w:firstLine="600" w:firstLineChars="200"/>
        <w:rPr>
          <w:rFonts w:ascii="Times New Roman" w:hAnsi="Times New Roman" w:eastAsia="仿宋" w:cs="Times New Roman"/>
          <w:bCs/>
          <w:kern w:val="2"/>
          <w:sz w:val="30"/>
          <w:szCs w:val="30"/>
        </w:rPr>
      </w:pPr>
    </w:p>
    <w:p>
      <w:pPr>
        <w:pStyle w:val="27"/>
        <w:spacing w:before="0" w:after="0" w:line="440" w:lineRule="exact"/>
        <w:ind w:firstLine="590" w:firstLineChars="196"/>
        <w:rPr>
          <w:sz w:val="30"/>
          <w:szCs w:val="30"/>
        </w:rPr>
      </w:pPr>
      <w:bookmarkStart w:id="76" w:name="_Toc20538"/>
      <w:r>
        <w:rPr>
          <w:rFonts w:hint="eastAsia"/>
          <w:sz w:val="30"/>
          <w:szCs w:val="30"/>
        </w:rPr>
        <w:t>（三）推进创新创业体制改革</w:t>
      </w:r>
      <w:bookmarkEnd w:id="76"/>
    </w:p>
    <w:p>
      <w:pPr>
        <w:spacing w:line="440" w:lineRule="exact"/>
        <w:ind w:firstLine="600" w:firstLineChars="200"/>
        <w:rPr>
          <w:rFonts w:eastAsia="仿宋"/>
          <w:bCs/>
          <w:sz w:val="30"/>
          <w:szCs w:val="30"/>
        </w:rPr>
      </w:pPr>
      <w:r>
        <w:rPr>
          <w:rFonts w:hint="eastAsia" w:eastAsia="仿宋"/>
          <w:bCs/>
          <w:sz w:val="30"/>
          <w:szCs w:val="30"/>
        </w:rPr>
        <w:t>创建和扶持互联网、光通信、生物制品、软件、文化创意等专业孵化器，推进各类孵化载体向投资多元化、机制多样化、体系网络化、服务专业化发展。利用“互联网</w:t>
      </w:r>
      <w:r>
        <w:rPr>
          <w:rFonts w:eastAsia="仿宋"/>
          <w:bCs/>
          <w:sz w:val="30"/>
          <w:szCs w:val="30"/>
        </w:rPr>
        <w:t>+</w:t>
      </w:r>
      <w:r>
        <w:rPr>
          <w:rFonts w:hint="eastAsia" w:eastAsia="仿宋"/>
          <w:bCs/>
          <w:sz w:val="30"/>
          <w:szCs w:val="30"/>
        </w:rPr>
        <w:t>”，积极发展众创、众筹、众包和虚拟创新创业社区等创新创业模式，建设高校创客中心，打造“孵化器</w:t>
      </w:r>
      <w:r>
        <w:rPr>
          <w:rFonts w:eastAsia="仿宋"/>
          <w:bCs/>
          <w:sz w:val="30"/>
          <w:szCs w:val="30"/>
        </w:rPr>
        <w:t>+</w:t>
      </w:r>
      <w:r>
        <w:rPr>
          <w:rFonts w:hint="eastAsia" w:eastAsia="仿宋"/>
          <w:bCs/>
          <w:sz w:val="30"/>
          <w:szCs w:val="30"/>
        </w:rPr>
        <w:t>宿舍”、“孵化器</w:t>
      </w:r>
      <w:r>
        <w:rPr>
          <w:rFonts w:eastAsia="仿宋"/>
          <w:bCs/>
          <w:sz w:val="30"/>
          <w:szCs w:val="30"/>
        </w:rPr>
        <w:t>+</w:t>
      </w:r>
      <w:r>
        <w:rPr>
          <w:rFonts w:hint="eastAsia" w:eastAsia="仿宋"/>
          <w:bCs/>
          <w:sz w:val="30"/>
          <w:szCs w:val="30"/>
        </w:rPr>
        <w:t>商业空间”等创业社区，拓展创新创业空间。</w:t>
      </w:r>
    </w:p>
    <w:p>
      <w:pPr>
        <w:spacing w:line="440" w:lineRule="exact"/>
        <w:ind w:firstLine="600" w:firstLineChars="200"/>
        <w:rPr>
          <w:rFonts w:eastAsia="仿宋"/>
          <w:bCs/>
          <w:sz w:val="30"/>
          <w:szCs w:val="30"/>
        </w:rPr>
      </w:pPr>
      <w:r>
        <w:rPr>
          <w:rFonts w:hint="eastAsia" w:eastAsia="仿宋"/>
          <w:bCs/>
          <w:sz w:val="30"/>
          <w:szCs w:val="30"/>
        </w:rPr>
        <w:t>建立创新创业政策集中发布平台，完善专业化、网络化服务体系，增强创新创业信息透明度。鼓励开展各类公益讲坛、创新论坛、创新培训等活动，丰富创新平台形式和内容。鼓励企业建立一批专业化、市场化的技术转移平台，引导和支持有条件的领军企业创建特色服务平台。</w:t>
      </w:r>
    </w:p>
    <w:p>
      <w:pPr>
        <w:pStyle w:val="29"/>
        <w:spacing w:afterLines="50" w:line="440" w:lineRule="exact"/>
        <w:ind w:firstLine="600" w:firstLineChars="200"/>
        <w:rPr>
          <w:rFonts w:ascii="Times New Roman" w:hAnsi="Times New Roman" w:eastAsia="仿宋" w:cs="Times New Roman"/>
          <w:bCs/>
          <w:kern w:val="2"/>
          <w:sz w:val="30"/>
          <w:szCs w:val="30"/>
        </w:rPr>
      </w:pPr>
      <w:r>
        <w:rPr>
          <w:rFonts w:hint="eastAsia" w:ascii="Times New Roman" w:hAnsi="Times New Roman" w:eastAsia="仿宋" w:cs="Times New Roman"/>
          <w:bCs/>
          <w:kern w:val="2"/>
          <w:sz w:val="30"/>
          <w:szCs w:val="30"/>
        </w:rPr>
        <w:t>进一步完善政策措施，统筹高校院所科技资源配置，建设桂林市科技服务资源共享平台、科研管理数据库，加快推进企业、高校和科研院所各类科技创新平台、科技基础设施、大型仪器设备、文献资料、数据资源、专利信息资源等的开放与共享，为大众创业、万众创新科创造良好条件。</w:t>
      </w:r>
    </w:p>
    <w:p>
      <w:pPr>
        <w:pStyle w:val="27"/>
        <w:spacing w:before="0" w:after="0" w:line="440" w:lineRule="exact"/>
        <w:ind w:firstLine="590" w:firstLineChars="196"/>
        <w:rPr>
          <w:sz w:val="30"/>
          <w:szCs w:val="30"/>
        </w:rPr>
      </w:pPr>
      <w:bookmarkStart w:id="77" w:name="_Toc12876"/>
      <w:r>
        <w:rPr>
          <w:rFonts w:hint="eastAsia"/>
          <w:sz w:val="30"/>
          <w:szCs w:val="30"/>
        </w:rPr>
        <w:t>（四）创新人才优先发展战略机制</w:t>
      </w:r>
      <w:bookmarkEnd w:id="77"/>
    </w:p>
    <w:p>
      <w:pPr>
        <w:spacing w:line="440" w:lineRule="exact"/>
        <w:ind w:firstLine="600" w:firstLineChars="200"/>
        <w:rPr>
          <w:rFonts w:eastAsia="仿宋"/>
          <w:bCs/>
          <w:sz w:val="30"/>
          <w:szCs w:val="30"/>
        </w:rPr>
      </w:pPr>
      <w:r>
        <w:rPr>
          <w:rFonts w:hint="eastAsia" w:eastAsia="仿宋"/>
          <w:bCs/>
          <w:sz w:val="30"/>
          <w:szCs w:val="30"/>
        </w:rPr>
        <w:t>把人才作为支撑发展的第一资源，加快推进人才发展体制和政策创新，构建有国际竞争力的人才制度优势，提高人才质量，优化人才结构，加快建设人才强国市。</w:t>
      </w:r>
    </w:p>
    <w:p>
      <w:pPr>
        <w:spacing w:line="440" w:lineRule="exact"/>
        <w:ind w:firstLine="600" w:firstLineChars="200"/>
        <w:rPr>
          <w:rFonts w:eastAsia="仿宋"/>
          <w:bCs/>
          <w:sz w:val="30"/>
          <w:szCs w:val="30"/>
        </w:rPr>
      </w:pPr>
      <w:r>
        <w:rPr>
          <w:rFonts w:hint="eastAsia" w:eastAsia="仿宋"/>
          <w:bCs/>
          <w:sz w:val="30"/>
          <w:szCs w:val="30"/>
        </w:rPr>
        <w:t>按照加强党的执政能力建设和先进性建设的要求，以提高领导水平和执政能力为核心，建设一支“改革创新、敢于攻坚、求真务实、勤政廉洁、乐于奉献”的高素质党政人才队伍。以科技企业家、企业家后备人才和职业经理人为重点，加快培养造就一批职业化、市场化、专业化和国际化的企业经营管理人才队伍。大力实施大学生科技创新人才培养计划，重点推行“漓江学者”、“杰出创新创业人才”、“拔尖人才”等工程，引进培养高层次人才。加强人才小高地建设，完善人才引进机制，创新、落实人才政策，健全人才培养、评价、选拔、流动配置及保障激励机制。</w:t>
      </w:r>
    </w:p>
    <w:p>
      <w:pPr>
        <w:spacing w:line="440" w:lineRule="exact"/>
        <w:ind w:firstLine="600" w:firstLineChars="200"/>
        <w:rPr>
          <w:rFonts w:eastAsia="仿宋"/>
          <w:bCs/>
          <w:sz w:val="30"/>
          <w:szCs w:val="30"/>
        </w:rPr>
      </w:pPr>
      <w:r>
        <w:rPr>
          <w:rFonts w:hint="eastAsia" w:eastAsia="仿宋"/>
          <w:bCs/>
          <w:sz w:val="30"/>
          <w:szCs w:val="30"/>
        </w:rPr>
        <w:t>适应产业发展转型升级要求和社会管理、公共服务水平提升需要，以提升职业素质和职业技能为核心，以技师和高级技师为重点，形成一支门类齐全、梯次合理、技术精湛的高技能人才队伍。适应构建社会主义和谐社会的需要，以人才培养和岗位开发为基础，以中高级社会工作人才为重点，建立健全专业培训和知识普及有机结合的社会工作人才培养体系，培养造就一支职业化、专业化的社会工作人才队伍。</w:t>
      </w:r>
    </w:p>
    <w:p>
      <w:pPr>
        <w:spacing w:line="440" w:lineRule="exact"/>
        <w:ind w:firstLine="600" w:firstLineChars="200"/>
        <w:rPr>
          <w:rFonts w:eastAsia="仿宋"/>
          <w:bCs/>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11</w:t>
      </w:r>
      <w:r>
        <w:rPr>
          <w:rFonts w:hint="eastAsia" w:eastAsia="仿宋"/>
          <w:b/>
          <w:sz w:val="30"/>
          <w:szCs w:val="30"/>
        </w:rPr>
        <w:t>：</w:t>
      </w:r>
      <w:r>
        <w:rPr>
          <w:rFonts w:hint="eastAsia"/>
          <w:b/>
          <w:sz w:val="30"/>
          <w:szCs w:val="30"/>
        </w:rPr>
        <w:t>创新人才优先发展战略机制重点改革项目</w:t>
      </w:r>
    </w:p>
    <w:tbl>
      <w:tblPr>
        <w:tblStyle w:val="16"/>
        <w:tblW w:w="9594" w:type="dxa"/>
        <w:tblInd w:w="95" w:type="dxa"/>
        <w:tblLayout w:type="fixed"/>
        <w:tblCellMar>
          <w:top w:w="0" w:type="dxa"/>
          <w:left w:w="108" w:type="dxa"/>
          <w:bottom w:w="0" w:type="dxa"/>
          <w:right w:w="108" w:type="dxa"/>
        </w:tblCellMar>
      </w:tblPr>
      <w:tblGrid>
        <w:gridCol w:w="1057"/>
        <w:gridCol w:w="2642"/>
        <w:gridCol w:w="3544"/>
        <w:gridCol w:w="2351"/>
      </w:tblGrid>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64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935"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建设“拔尖人才”工程</w:t>
            </w:r>
          </w:p>
        </w:tc>
        <w:tc>
          <w:tcPr>
            <w:tcW w:w="2642"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定期评选拔尖人才</w:t>
            </w:r>
            <w:r>
              <w:rPr>
                <w:rFonts w:cs="宋体"/>
                <w:kern w:val="0"/>
                <w:sz w:val="22"/>
                <w:szCs w:val="22"/>
              </w:rPr>
              <w:t>,</w:t>
            </w:r>
            <w:r>
              <w:rPr>
                <w:rFonts w:hint="eastAsia" w:cs="宋体"/>
                <w:kern w:val="0"/>
                <w:sz w:val="22"/>
                <w:szCs w:val="22"/>
              </w:rPr>
              <w:t>对拔尖人才及其团队给予重点扶持</w:t>
            </w:r>
            <w:r>
              <w:rPr>
                <w:rFonts w:cs="宋体"/>
                <w:kern w:val="0"/>
                <w:sz w:val="22"/>
                <w:szCs w:val="22"/>
              </w:rPr>
              <w:t>,</w:t>
            </w:r>
            <w:r>
              <w:rPr>
                <w:rFonts w:hint="eastAsia" w:cs="宋体"/>
                <w:kern w:val="0"/>
                <w:sz w:val="22"/>
                <w:szCs w:val="22"/>
              </w:rPr>
              <w:t>到</w:t>
            </w:r>
            <w:r>
              <w:rPr>
                <w:rFonts w:cs="宋体"/>
                <w:kern w:val="0"/>
                <w:sz w:val="22"/>
                <w:szCs w:val="22"/>
              </w:rPr>
              <w:t>2020</w:t>
            </w:r>
            <w:r>
              <w:rPr>
                <w:rFonts w:hint="eastAsia" w:cs="宋体"/>
                <w:kern w:val="0"/>
                <w:sz w:val="22"/>
                <w:szCs w:val="22"/>
              </w:rPr>
              <w:t>年</w:t>
            </w:r>
            <w:r>
              <w:rPr>
                <w:rFonts w:cs="宋体"/>
                <w:kern w:val="0"/>
                <w:sz w:val="22"/>
                <w:szCs w:val="22"/>
              </w:rPr>
              <w:t>,</w:t>
            </w:r>
            <w:r>
              <w:rPr>
                <w:rFonts w:hint="eastAsia" w:cs="宋体"/>
                <w:kern w:val="0"/>
                <w:sz w:val="22"/>
                <w:szCs w:val="22"/>
              </w:rPr>
              <w:t>累计评选</w:t>
            </w:r>
            <w:r>
              <w:rPr>
                <w:rFonts w:cs="宋体"/>
                <w:kern w:val="0"/>
                <w:sz w:val="22"/>
                <w:szCs w:val="22"/>
              </w:rPr>
              <w:t>200</w:t>
            </w:r>
            <w:r>
              <w:rPr>
                <w:rFonts w:hint="eastAsia" w:cs="宋体"/>
                <w:kern w:val="0"/>
                <w:sz w:val="22"/>
                <w:szCs w:val="22"/>
              </w:rPr>
              <w:t>名左右各行业各领域的拔尖人才</w:t>
            </w:r>
            <w:r>
              <w:rPr>
                <w:rFonts w:cs="宋体"/>
                <w:kern w:val="0"/>
                <w:sz w:val="22"/>
                <w:szCs w:val="22"/>
              </w:rPr>
              <w:t>,</w:t>
            </w:r>
            <w:r>
              <w:rPr>
                <w:rFonts w:hint="eastAsia" w:cs="宋体"/>
                <w:kern w:val="0"/>
                <w:sz w:val="22"/>
                <w:szCs w:val="22"/>
              </w:rPr>
              <w:t>带动培养</w:t>
            </w:r>
            <w:r>
              <w:rPr>
                <w:rFonts w:cs="宋体"/>
                <w:kern w:val="0"/>
                <w:sz w:val="22"/>
                <w:szCs w:val="22"/>
              </w:rPr>
              <w:t>500</w:t>
            </w:r>
            <w:r>
              <w:rPr>
                <w:rFonts w:hint="eastAsia" w:cs="宋体"/>
                <w:kern w:val="0"/>
                <w:sz w:val="22"/>
                <w:szCs w:val="22"/>
              </w:rPr>
              <w:t>名左右中青年科研技术人才。</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支持拔尖人才及其团队组织申报和主持实施自治区、市级重点课题、科技攻关项目、工程技术项目</w:t>
            </w:r>
            <w:r>
              <w:rPr>
                <w:rFonts w:cs="宋体"/>
                <w:kern w:val="0"/>
                <w:sz w:val="22"/>
                <w:szCs w:val="22"/>
              </w:rPr>
              <w:t>,</w:t>
            </w:r>
            <w:r>
              <w:rPr>
                <w:rFonts w:hint="eastAsia" w:cs="宋体"/>
                <w:kern w:val="0"/>
                <w:sz w:val="22"/>
                <w:szCs w:val="22"/>
              </w:rPr>
              <w:t>促进成果转化和产业化</w:t>
            </w:r>
            <w:r>
              <w:rPr>
                <w:rFonts w:cs="宋体"/>
                <w:kern w:val="0"/>
                <w:sz w:val="22"/>
                <w:szCs w:val="22"/>
              </w:rPr>
              <w:t>,</w:t>
            </w:r>
            <w:r>
              <w:rPr>
                <w:rFonts w:hint="eastAsia" w:cs="宋体"/>
                <w:kern w:val="0"/>
                <w:sz w:val="22"/>
                <w:szCs w:val="22"/>
              </w:rPr>
              <w:t>提高我市整体科研技术水平。</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修改完善桂林市拔尖人才评选管理办法。</w:t>
            </w:r>
          </w:p>
        </w:tc>
      </w:tr>
      <w:tr>
        <w:tblPrEx>
          <w:tblLayout w:type="fixed"/>
          <w:tblCellMar>
            <w:top w:w="0" w:type="dxa"/>
            <w:left w:w="108" w:type="dxa"/>
            <w:bottom w:w="0" w:type="dxa"/>
            <w:right w:w="108" w:type="dxa"/>
          </w:tblCellMar>
        </w:tblPrEx>
        <w:trPr>
          <w:trHeight w:val="566"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“漓江学者”工程</w:t>
            </w:r>
          </w:p>
        </w:tc>
        <w:tc>
          <w:tcPr>
            <w:tcW w:w="2642"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选聘“漓江学者”。力争到</w:t>
            </w:r>
            <w:r>
              <w:rPr>
                <w:rFonts w:cs="宋体"/>
                <w:kern w:val="0"/>
                <w:sz w:val="22"/>
                <w:szCs w:val="22"/>
              </w:rPr>
              <w:t>2020</w:t>
            </w:r>
            <w:r>
              <w:rPr>
                <w:rFonts w:hint="eastAsia" w:cs="宋体"/>
                <w:kern w:val="0"/>
                <w:sz w:val="22"/>
                <w:szCs w:val="22"/>
              </w:rPr>
              <w:t>年</w:t>
            </w:r>
            <w:r>
              <w:rPr>
                <w:rFonts w:cs="宋体"/>
                <w:kern w:val="0"/>
                <w:sz w:val="22"/>
                <w:szCs w:val="22"/>
              </w:rPr>
              <w:t>,</w:t>
            </w:r>
            <w:r>
              <w:rPr>
                <w:rFonts w:hint="eastAsia" w:cs="宋体"/>
                <w:kern w:val="0"/>
                <w:sz w:val="22"/>
                <w:szCs w:val="22"/>
              </w:rPr>
              <w:t>累计选聘</w:t>
            </w:r>
            <w:r>
              <w:rPr>
                <w:rFonts w:cs="宋体"/>
                <w:kern w:val="0"/>
                <w:sz w:val="22"/>
                <w:szCs w:val="22"/>
              </w:rPr>
              <w:t>10—20</w:t>
            </w:r>
            <w:r>
              <w:rPr>
                <w:rFonts w:hint="eastAsia" w:cs="宋体"/>
                <w:kern w:val="0"/>
                <w:sz w:val="22"/>
                <w:szCs w:val="22"/>
              </w:rPr>
              <w:t>名漓江学者</w:t>
            </w:r>
            <w:r>
              <w:rPr>
                <w:rFonts w:cs="宋体"/>
                <w:kern w:val="0"/>
                <w:sz w:val="22"/>
                <w:szCs w:val="22"/>
              </w:rPr>
              <w:t>,</w:t>
            </w:r>
            <w:r>
              <w:rPr>
                <w:rFonts w:hint="eastAsia" w:cs="宋体"/>
                <w:kern w:val="0"/>
                <w:sz w:val="22"/>
                <w:szCs w:val="22"/>
              </w:rPr>
              <w:t>吸引培养一批中青年科研技术骨干</w:t>
            </w:r>
            <w:r>
              <w:rPr>
                <w:rFonts w:cs="宋体"/>
                <w:kern w:val="0"/>
                <w:sz w:val="22"/>
                <w:szCs w:val="22"/>
              </w:rPr>
              <w:t>,</w:t>
            </w:r>
            <w:r>
              <w:rPr>
                <w:rFonts w:hint="eastAsia" w:cs="宋体"/>
                <w:kern w:val="0"/>
                <w:sz w:val="22"/>
                <w:szCs w:val="22"/>
              </w:rPr>
              <w:t>建成一批富有桂林特色的研发中心、技术创新基地、成果推广基地和优势学科。</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分期分批面向海内外公开选聘高层次领军人才</w:t>
            </w:r>
            <w:r>
              <w:rPr>
                <w:rFonts w:cs="宋体"/>
                <w:kern w:val="0"/>
                <w:sz w:val="22"/>
                <w:szCs w:val="22"/>
              </w:rPr>
              <w:t>,</w:t>
            </w:r>
            <w:r>
              <w:rPr>
                <w:rFonts w:hint="eastAsia" w:cs="宋体"/>
                <w:kern w:val="0"/>
                <w:sz w:val="22"/>
                <w:szCs w:val="22"/>
              </w:rPr>
              <w:t>并不断加大投入力度和政策支持。</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修订桂林市漓江学者制度试行办法。</w:t>
            </w:r>
          </w:p>
        </w:tc>
      </w:tr>
    </w:tbl>
    <w:p>
      <w:pPr>
        <w:spacing w:line="440" w:lineRule="exact"/>
        <w:ind w:firstLine="600" w:firstLineChars="200"/>
        <w:rPr>
          <w:rFonts w:eastAsia="仿宋"/>
          <w:bCs/>
          <w:sz w:val="30"/>
          <w:szCs w:val="30"/>
        </w:rPr>
      </w:pPr>
    </w:p>
    <w:p>
      <w:pPr>
        <w:pStyle w:val="3"/>
        <w:spacing w:line="440" w:lineRule="exact"/>
        <w:ind w:left="0" w:leftChars="0" w:firstLine="590" w:firstLineChars="196"/>
        <w:rPr>
          <w:rFonts w:ascii="Times New Roman" w:hAnsi="Times New Roman" w:eastAsia="黑体"/>
          <w:sz w:val="30"/>
          <w:szCs w:val="30"/>
        </w:rPr>
      </w:pPr>
      <w:bookmarkStart w:id="78" w:name="_Toc456552711"/>
      <w:bookmarkStart w:id="79" w:name="_Toc11782"/>
      <w:bookmarkStart w:id="80" w:name="_Toc456447954"/>
      <w:r>
        <w:rPr>
          <w:rFonts w:hint="eastAsia" w:ascii="Times New Roman" w:hAnsi="Times New Roman" w:eastAsia="黑体"/>
          <w:sz w:val="30"/>
          <w:szCs w:val="30"/>
        </w:rPr>
        <w:t>四、创新国际旅游胜地建设体制机制，推进桂林特色发展</w:t>
      </w:r>
      <w:bookmarkEnd w:id="78"/>
      <w:bookmarkEnd w:id="79"/>
      <w:bookmarkEnd w:id="80"/>
    </w:p>
    <w:p>
      <w:pPr>
        <w:pStyle w:val="27"/>
        <w:spacing w:before="0" w:after="0" w:line="440" w:lineRule="exact"/>
        <w:ind w:firstLine="590" w:firstLineChars="196"/>
        <w:rPr>
          <w:sz w:val="30"/>
          <w:szCs w:val="30"/>
        </w:rPr>
      </w:pPr>
      <w:bookmarkStart w:id="81" w:name="_Toc456447955"/>
      <w:bookmarkStart w:id="82" w:name="_Toc456552712"/>
      <w:bookmarkStart w:id="83" w:name="_Toc17401"/>
      <w:r>
        <w:rPr>
          <w:sz w:val="30"/>
          <w:szCs w:val="30"/>
        </w:rPr>
        <w:t>(</w:t>
      </w:r>
      <w:r>
        <w:rPr>
          <w:rFonts w:hint="eastAsia"/>
          <w:sz w:val="30"/>
          <w:szCs w:val="30"/>
        </w:rPr>
        <w:t>一</w:t>
      </w:r>
      <w:r>
        <w:rPr>
          <w:sz w:val="30"/>
          <w:szCs w:val="30"/>
        </w:rPr>
        <w:t>)</w:t>
      </w:r>
      <w:r>
        <w:rPr>
          <w:rFonts w:hint="eastAsia"/>
          <w:sz w:val="30"/>
          <w:szCs w:val="30"/>
        </w:rPr>
        <w:t>完善旅游管理体制</w:t>
      </w:r>
      <w:bookmarkEnd w:id="81"/>
      <w:bookmarkEnd w:id="82"/>
      <w:r>
        <w:rPr>
          <w:rFonts w:hint="eastAsia"/>
          <w:sz w:val="30"/>
          <w:szCs w:val="30"/>
        </w:rPr>
        <w:t>机制</w:t>
      </w:r>
      <w:bookmarkEnd w:id="83"/>
    </w:p>
    <w:p>
      <w:pPr>
        <w:spacing w:line="440" w:lineRule="exact"/>
        <w:ind w:firstLine="602" w:firstLineChars="200"/>
        <w:rPr>
          <w:rFonts w:eastAsia="仿宋"/>
          <w:sz w:val="30"/>
          <w:szCs w:val="30"/>
        </w:rPr>
      </w:pPr>
      <w:r>
        <w:rPr>
          <w:rFonts w:hint="eastAsia" w:eastAsia="仿宋"/>
          <w:b/>
          <w:sz w:val="30"/>
          <w:szCs w:val="30"/>
        </w:rPr>
        <w:t>理顺旅游发展决策机制。</w:t>
      </w:r>
      <w:r>
        <w:rPr>
          <w:rFonts w:hint="eastAsia" w:eastAsia="仿宋"/>
          <w:sz w:val="30"/>
          <w:szCs w:val="30"/>
        </w:rPr>
        <w:t>健全桂林市旅游发展委员会职能，切实赋予其对全市旅游发展的统一规划、统一监管和统筹协调职能。着眼于“全域旅游”要求，结合智慧旅游建设，整合旅游管理机构和职能，建立统一高效的运行管理、协调联动、资源保护与开发建设机制，建立符合旅游产业综合特征的旅游决策协调模式。</w:t>
      </w:r>
    </w:p>
    <w:p>
      <w:pPr>
        <w:spacing w:line="440" w:lineRule="exact"/>
        <w:ind w:firstLine="602" w:firstLineChars="200"/>
        <w:rPr>
          <w:rFonts w:eastAsia="仿宋"/>
          <w:sz w:val="30"/>
          <w:szCs w:val="30"/>
        </w:rPr>
      </w:pPr>
      <w:r>
        <w:rPr>
          <w:rFonts w:hint="eastAsia" w:eastAsia="仿宋"/>
          <w:b/>
          <w:sz w:val="30"/>
          <w:szCs w:val="30"/>
        </w:rPr>
        <w:t>建立推动《桂林国际旅游胜地建设发展规划纲要》政策落实的机制。</w:t>
      </w:r>
      <w:r>
        <w:rPr>
          <w:rFonts w:hint="eastAsia" w:eastAsia="仿宋"/>
          <w:sz w:val="30"/>
          <w:szCs w:val="30"/>
        </w:rPr>
        <w:t>完成《桂林国际旅游胜地建设发展规划纲要》中期评估。建立市委、市政府主要领导召集的桂林国际旅游胜地建设领导小组季度例会制度。建立旅游重大项目实施和基础设施改造投入推进机制。将旅游专题作为全市领导干部培训教育工作的重点，列入市县两级党校、行政学院、社会主义学院的教学工作。强化政策跟踪落实，强化考核督查，确保中央和自治区在财税、投融资、产业用地、产业融合、富民增收、生态补偿、项目推进等方面赋予桂林的各项政策落实到位。建立国际旅游胜地建设激励机制，重奖有功人员。强化旅游规划协调机制。进一步挖掘桂林国际旅游胜地建设的政策潜力。</w:t>
      </w:r>
    </w:p>
    <w:p>
      <w:pPr>
        <w:spacing w:line="440" w:lineRule="exact"/>
        <w:ind w:firstLine="602" w:firstLineChars="200"/>
        <w:rPr>
          <w:rFonts w:eastAsia="仿宋"/>
          <w:sz w:val="30"/>
          <w:szCs w:val="30"/>
        </w:rPr>
      </w:pPr>
      <w:r>
        <w:rPr>
          <w:rFonts w:hint="eastAsia" w:eastAsia="仿宋"/>
          <w:b/>
          <w:sz w:val="30"/>
          <w:szCs w:val="30"/>
        </w:rPr>
        <w:t>完善旅游产业发展的配套机制。</w:t>
      </w:r>
      <w:r>
        <w:rPr>
          <w:rFonts w:hint="eastAsia" w:eastAsia="仿宋"/>
          <w:sz w:val="30"/>
          <w:szCs w:val="30"/>
        </w:rPr>
        <w:t>完善旅游规划建设统筹协调机制，实施“多规合一”，实施《全市重点旅游片区发展规划》。建立适应国际旅游胜地的旅游统计体系和评价制度，将旅游业纳入国民经济统计体系，引入和借鉴旅游卫星账户统计方法，创新旅游统计核算工作，增加旅游业对</w:t>
      </w:r>
      <w:r>
        <w:rPr>
          <w:rFonts w:eastAsia="仿宋"/>
          <w:sz w:val="30"/>
          <w:szCs w:val="30"/>
        </w:rPr>
        <w:t>GDP</w:t>
      </w:r>
      <w:r>
        <w:rPr>
          <w:rFonts w:hint="eastAsia" w:eastAsia="仿宋"/>
          <w:sz w:val="30"/>
          <w:szCs w:val="30"/>
        </w:rPr>
        <w:t>、就业、投资、税收和能源消耗等贡献度的统计和评价。建立科学的旅游发展考核评价体系，按照不同区域主体功能定位，实行差异化绩效考核评价办法。完善旅游市场监管机制，建立和完善市县两级旅游市场综合执法机制和旅游投诉统一受理机制。改革导游管理体制，取消导游年审制度，建立政府主导的导游培训平台，以星级导游评定为抓手，建立全市导游激励和退出机制，建立导游动态管理机制。在导游协会建立导游预约平台，积极、稳妥推行导游自由执业。构建具有桂林特色的旅游服务标准体系，制定并实施旅行社管理、旅游车船运营、环境卫生、安全防范、节能环保等旅游行业标准。</w:t>
      </w:r>
    </w:p>
    <w:p>
      <w:pPr>
        <w:pStyle w:val="27"/>
        <w:spacing w:before="0" w:after="0" w:line="440" w:lineRule="exact"/>
        <w:ind w:firstLine="590" w:firstLineChars="196"/>
        <w:rPr>
          <w:sz w:val="30"/>
          <w:szCs w:val="30"/>
        </w:rPr>
      </w:pPr>
      <w:bookmarkStart w:id="84" w:name="_Toc23017"/>
      <w:bookmarkStart w:id="85" w:name="_Toc456552713"/>
      <w:bookmarkStart w:id="86" w:name="_Toc456447956"/>
      <w:r>
        <w:rPr>
          <w:rFonts w:hint="eastAsia"/>
          <w:sz w:val="30"/>
          <w:szCs w:val="30"/>
        </w:rPr>
        <w:t>（二）改革旅游经营机制</w:t>
      </w:r>
      <w:bookmarkEnd w:id="84"/>
      <w:bookmarkEnd w:id="85"/>
      <w:bookmarkEnd w:id="86"/>
    </w:p>
    <w:p>
      <w:pPr>
        <w:spacing w:line="440" w:lineRule="exact"/>
        <w:ind w:firstLine="600" w:firstLineChars="200"/>
        <w:rPr>
          <w:rFonts w:eastAsia="仿宋"/>
          <w:sz w:val="30"/>
          <w:szCs w:val="30"/>
        </w:rPr>
      </w:pPr>
      <w:r>
        <w:rPr>
          <w:rFonts w:hint="eastAsia" w:eastAsia="仿宋"/>
          <w:sz w:val="30"/>
          <w:szCs w:val="30"/>
        </w:rPr>
        <w:t>建立健全政府引导、行业自律、企业依法自主经营的旅游经营机制。推进桂林旅游资源整合，引导资金、资源、人才、技术等要素向旅游优势企业、优势区域、优势景区景点集聚，打造旅游航母。重组市属各公园、景区旅游经营权及经营性资产，进行统一经营。以旅游业上市公司为主体整合旅游资源，实现我市旅游资源的整体上市。联合打造航空旅游集团，建立国际旅游胜地网络，发行胜地旅游卡。围绕山水观光、休闲度假、历史文化、民族文化、生态乡村、户外运动、浪漫婚典、红色旅游八大系列旅游产品建设，着力开发高端旅游项目和旅游品牌，促进旅游产业转型升级。建设桂林国家健康旅游基地。</w:t>
      </w:r>
    </w:p>
    <w:p>
      <w:pPr>
        <w:spacing w:line="440" w:lineRule="exact"/>
        <w:ind w:firstLine="602" w:firstLineChars="200"/>
        <w:rPr>
          <w:rFonts w:eastAsia="仿宋"/>
          <w:sz w:val="30"/>
          <w:szCs w:val="30"/>
        </w:rPr>
      </w:pPr>
      <w:r>
        <w:rPr>
          <w:rFonts w:hint="eastAsia" w:eastAsia="仿宋"/>
          <w:b/>
          <w:sz w:val="30"/>
          <w:szCs w:val="30"/>
        </w:rPr>
        <w:t>加快推进旅游企业改革，建立现代企业制度。</w:t>
      </w:r>
      <w:r>
        <w:rPr>
          <w:rFonts w:hint="eastAsia" w:eastAsia="仿宋"/>
          <w:sz w:val="30"/>
          <w:szCs w:val="30"/>
        </w:rPr>
        <w:t>推进桂林旅游发展总公司（简称旅发展）、桂林旅游股份有限公司（简称旅股份）全面深化改革，理顺政府与旅发展、旅股份的关系及旅发展与旅股份的相互关系，使旅发展、旅股份成为真正的完全去行政化的市场经济主体。剥离桂林旅游发展总公司的经营性资产并将其注入桂林旅游股份有限公司，桂林旅游发展集团公司改组为投资管理公司，打造为桂林旅游业的投融资平台；将桂林旅游股份有限公司打造为经营我市优质旅游资源的龙头企业，改革旅发展、旅股份的管理体制机制，优化内部治理结构，使旅发展、旅股份的领导管理体制更加合理，现代企业制度更加完善，企业内部管理更加科学。发挥本市旅游上市公司融资平台作用，大力推进旅游企业改组、改制、兼并联合和资产优化重组，形成骨干企业主导、中小企业配套的旅游企业架构。</w:t>
      </w:r>
    </w:p>
    <w:p>
      <w:pPr>
        <w:spacing w:line="440" w:lineRule="exact"/>
        <w:ind w:firstLine="602" w:firstLineChars="200"/>
        <w:rPr>
          <w:rFonts w:eastAsia="仿宋"/>
          <w:sz w:val="30"/>
          <w:szCs w:val="30"/>
        </w:rPr>
      </w:pPr>
      <w:r>
        <w:rPr>
          <w:rFonts w:hint="eastAsia" w:eastAsia="仿宋"/>
          <w:b/>
          <w:sz w:val="30"/>
          <w:szCs w:val="30"/>
        </w:rPr>
        <w:t>推动“互联网＋旅游”新业态。</w:t>
      </w:r>
      <w:r>
        <w:rPr>
          <w:rFonts w:hint="eastAsia" w:eastAsia="仿宋"/>
          <w:sz w:val="30"/>
          <w:szCs w:val="30"/>
        </w:rPr>
        <w:t>改造传统旅游营销模式，加快智慧旅游建设，大力推进旅游经营和营销新业态。</w:t>
      </w:r>
    </w:p>
    <w:p>
      <w:pPr>
        <w:spacing w:line="440" w:lineRule="exact"/>
        <w:ind w:firstLine="600" w:firstLineChars="200"/>
        <w:rPr>
          <w:rFonts w:eastAsia="仿宋"/>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12</w:t>
      </w:r>
      <w:r>
        <w:rPr>
          <w:rFonts w:hint="eastAsia" w:eastAsia="仿宋"/>
          <w:b/>
          <w:sz w:val="30"/>
          <w:szCs w:val="30"/>
        </w:rPr>
        <w:t>：</w:t>
      </w:r>
      <w:r>
        <w:rPr>
          <w:rFonts w:hint="eastAsia"/>
          <w:b/>
          <w:sz w:val="30"/>
          <w:szCs w:val="30"/>
        </w:rPr>
        <w:t>旅游管理体制重点改革项目</w:t>
      </w:r>
    </w:p>
    <w:tbl>
      <w:tblPr>
        <w:tblStyle w:val="16"/>
        <w:tblW w:w="9594" w:type="dxa"/>
        <w:tblInd w:w="95" w:type="dxa"/>
        <w:tblLayout w:type="fixed"/>
        <w:tblCellMar>
          <w:top w:w="0" w:type="dxa"/>
          <w:left w:w="108" w:type="dxa"/>
          <w:bottom w:w="0" w:type="dxa"/>
          <w:right w:w="108" w:type="dxa"/>
        </w:tblCellMar>
      </w:tblPr>
      <w:tblGrid>
        <w:gridCol w:w="1057"/>
        <w:gridCol w:w="2642"/>
        <w:gridCol w:w="3544"/>
        <w:gridCol w:w="2351"/>
      </w:tblGrid>
      <w:tr>
        <w:tblPrEx>
          <w:tblLayout w:type="fixed"/>
          <w:tblCellMar>
            <w:top w:w="0" w:type="dxa"/>
            <w:left w:w="108" w:type="dxa"/>
            <w:bottom w:w="0" w:type="dxa"/>
            <w:right w:w="108" w:type="dxa"/>
          </w:tblCellMar>
        </w:tblPrEx>
        <w:trPr>
          <w:trHeight w:val="451"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64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935"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完善旅游市场监管体系</w:t>
            </w:r>
          </w:p>
        </w:tc>
        <w:tc>
          <w:tcPr>
            <w:tcW w:w="2642"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完善旅游市场监管机制，建立和完善市县两级旅游市场综合执法机制和旅游投诉统一受理机制。</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全面推进《旅游法》的实施，打击查处各类旅游违法违规行为，规范旅游市场秩序，维护旅游者和旅游经营者合法权益。改革导游管理体制，建立负面清单管理制度，实行统一的市场准入和市场监管制度，完善市场监管体系。</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制定桂林市关于改革旅游市场监管体系的实施意见。</w:t>
            </w:r>
          </w:p>
        </w:tc>
      </w:tr>
      <w:tr>
        <w:tblPrEx>
          <w:tblLayout w:type="fixed"/>
          <w:tblCellMar>
            <w:top w:w="0" w:type="dxa"/>
            <w:left w:w="108" w:type="dxa"/>
            <w:bottom w:w="0" w:type="dxa"/>
            <w:right w:w="108" w:type="dxa"/>
          </w:tblCellMar>
        </w:tblPrEx>
        <w:trPr>
          <w:trHeight w:val="1935"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完善生态文明和生态经济体制机制</w:t>
            </w:r>
          </w:p>
        </w:tc>
        <w:tc>
          <w:tcPr>
            <w:tcW w:w="2642"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努力将桂林建设成为广西生态经济发展先行区和全国生态文明示范区。</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全力实施“生态立市”战略，大力发展生态产业，加快生态基础设施建设，强化生态环境治理，加强生态城乡建设，完善生态保护和生态利用体制机制，提升生态文明水平，以生态经济支撑产业发展，以生态文明引领人文精神。</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出台并实施发展生态经济深入推进生态文明建设十三五规划。</w:t>
            </w:r>
          </w:p>
        </w:tc>
      </w:tr>
      <w:tr>
        <w:tblPrEx>
          <w:tblLayout w:type="fixed"/>
          <w:tblCellMar>
            <w:top w:w="0" w:type="dxa"/>
            <w:left w:w="108" w:type="dxa"/>
            <w:bottom w:w="0" w:type="dxa"/>
            <w:right w:w="108" w:type="dxa"/>
          </w:tblCellMar>
        </w:tblPrEx>
        <w:trPr>
          <w:trHeight w:val="1935"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推进桂林旅游资源整合</w:t>
            </w:r>
          </w:p>
        </w:tc>
        <w:tc>
          <w:tcPr>
            <w:tcW w:w="2642"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推进桂林旅游资源整合，引导资金、资源、人才、技术等要素向旅游优势企业、优势区域、优势景区景点集聚，促进旅游产业转型升级。</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推进桂林旅发展体制机制改革，成为真正的完全去行政化的市场经济主体。重组市属各公园、景区旅游经营权及经营性资产，打造我市旅游业的航空母舰。剥离旅发展经营性资产注入旅股份，旅发展集团公司改组为投资管理公司，打造为桂林旅游业的投融资平台；旅股份打造为经营我市优质旅游资源的龙头企业。</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制定出台关于推进桂林市市级旅游资源整合的实施方案。</w:t>
            </w:r>
          </w:p>
        </w:tc>
      </w:tr>
      <w:tr>
        <w:tblPrEx>
          <w:tblLayout w:type="fixed"/>
          <w:tblCellMar>
            <w:top w:w="0" w:type="dxa"/>
            <w:left w:w="108" w:type="dxa"/>
            <w:bottom w:w="0" w:type="dxa"/>
            <w:right w:w="108" w:type="dxa"/>
          </w:tblCellMar>
        </w:tblPrEx>
        <w:trPr>
          <w:trHeight w:val="1935" w:hRule="atLeast"/>
        </w:trPr>
        <w:tc>
          <w:tcPr>
            <w:tcW w:w="105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推进智慧城市建设</w:t>
            </w:r>
          </w:p>
        </w:tc>
        <w:tc>
          <w:tcPr>
            <w:tcW w:w="2642"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贯彻落实自治区智慧城市建设试点工作指导意见</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建设智慧城市、智慧景区等。</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推进桂林智慧城市试点工作</w:t>
            </w:r>
          </w:p>
        </w:tc>
      </w:tr>
    </w:tbl>
    <w:p>
      <w:pPr>
        <w:spacing w:line="440" w:lineRule="exact"/>
        <w:ind w:firstLine="600" w:firstLineChars="200"/>
        <w:rPr>
          <w:rFonts w:eastAsia="仿宋"/>
          <w:sz w:val="30"/>
          <w:szCs w:val="30"/>
        </w:rPr>
      </w:pPr>
    </w:p>
    <w:p>
      <w:pPr>
        <w:pStyle w:val="27"/>
        <w:spacing w:before="0" w:after="0" w:line="440" w:lineRule="exact"/>
        <w:ind w:firstLine="590" w:firstLineChars="196"/>
        <w:rPr>
          <w:sz w:val="30"/>
          <w:szCs w:val="30"/>
        </w:rPr>
      </w:pPr>
      <w:bookmarkStart w:id="87" w:name="_Toc30515"/>
      <w:bookmarkStart w:id="88" w:name="_Toc456552714"/>
      <w:bookmarkStart w:id="89" w:name="_Toc456447957"/>
      <w:r>
        <w:rPr>
          <w:rFonts w:hint="eastAsia"/>
          <w:sz w:val="30"/>
          <w:szCs w:val="30"/>
        </w:rPr>
        <w:t>（三）改革漓江管理体制</w:t>
      </w:r>
      <w:bookmarkEnd w:id="87"/>
      <w:bookmarkEnd w:id="88"/>
      <w:bookmarkEnd w:id="89"/>
    </w:p>
    <w:p>
      <w:pPr>
        <w:spacing w:line="440" w:lineRule="exact"/>
        <w:ind w:firstLine="600" w:firstLineChars="200"/>
        <w:rPr>
          <w:rFonts w:eastAsia="仿宋"/>
          <w:sz w:val="30"/>
          <w:szCs w:val="30"/>
        </w:rPr>
      </w:pPr>
      <w:r>
        <w:rPr>
          <w:rFonts w:hint="eastAsia" w:eastAsia="仿宋"/>
          <w:sz w:val="30"/>
          <w:szCs w:val="30"/>
        </w:rPr>
        <w:t>一是完善漓江行政管理体制。完善漓江风景名胜区管理委员会职能，赋予其经济、行政、社会管理职能，实现对漓江风景名胜区统一经营、统一管理、统筹各方利益。探索推进《漓江风景区名胜区管理条例》的立法工作。进一步理顺市、县（区）两级漓江管理体制机制，建立县（区）漓管办由县（区）委、县（区）政府和漓江风景名胜区工委、管委双重领导的管理体制。建立漓江综合执法机制，完善漓江公安分局职能和管理体制，健全市、县（区）两级执法力量的联动配合机制，提升漓江景区旅游市场秩序整治、生态保护和治安管理的执法力度。</w:t>
      </w:r>
    </w:p>
    <w:p>
      <w:pPr>
        <w:spacing w:line="440" w:lineRule="exact"/>
        <w:ind w:firstLine="600" w:firstLineChars="200"/>
        <w:rPr>
          <w:rFonts w:eastAsia="仿宋"/>
          <w:sz w:val="30"/>
          <w:szCs w:val="30"/>
        </w:rPr>
      </w:pPr>
      <w:r>
        <w:rPr>
          <w:rFonts w:hint="eastAsia" w:eastAsia="仿宋"/>
          <w:sz w:val="30"/>
          <w:szCs w:val="30"/>
        </w:rPr>
        <w:t>二是创新漓江旅游经营机制。改革“四统一”管理模式，引导游船企业进行实质性整合，明确漓江旅游经营主体。严格执行漓江旅游经营主体招投标制度，完善经营主体进出机制。完善漓江旅游门票价格形成机制，实行漓江游览票制票价改革。建立健全统一的漓江景区水上经营管理制度和管理办法，适应桂林旅游转型升级和游客个性化需要，推进漓江游览方式的多元化、规范化，丰富和创新漓江旅游产品，逐步实现分时、分段、分区游。组建桂林市漓江投资运营有限公司，打造漓江保护、运营、建设和发展的投融资平台，承担建设漓江景区及沿线基础设施等任务。从漓江城市段经营权改革入手，改革漓江城市段水上游览体制机制，整合现有经营主体，推动漓江城市段水上游览经营向规模化、集团化发展。</w:t>
      </w:r>
    </w:p>
    <w:p>
      <w:pPr>
        <w:spacing w:line="440" w:lineRule="exact"/>
        <w:ind w:firstLine="600" w:firstLineChars="200"/>
        <w:rPr>
          <w:rFonts w:eastAsia="仿宋"/>
          <w:sz w:val="30"/>
          <w:szCs w:val="30"/>
        </w:rPr>
      </w:pPr>
      <w:r>
        <w:rPr>
          <w:rFonts w:hint="eastAsia" w:eastAsia="仿宋"/>
          <w:sz w:val="30"/>
          <w:szCs w:val="30"/>
        </w:rPr>
        <w:t>三是构建漓江可持续发展体系。推动建立漓江风景名胜区核心区统筹利益分配机制。健全漓江生态补偿机制，建立健全下游反哺上游的机制，建立漓江生态资源有偿使用制度。建立漓江生态保护基金，主要用于漓江流域农民的生态补偿和生产扶持。完善以政府投入为主、社会投入为辅的漓江保护投入机制。建立漓江自然和文化遗产保护与利用机制，编制漓江自然和文化遗产保护与利用的长期规划。建立健全世界自然遗产地</w:t>
      </w:r>
      <w:r>
        <w:rPr>
          <w:rFonts w:eastAsia="仿宋"/>
          <w:sz w:val="30"/>
          <w:szCs w:val="30"/>
        </w:rPr>
        <w:t>—</w:t>
      </w:r>
      <w:r>
        <w:rPr>
          <w:rFonts w:hint="eastAsia" w:eastAsia="仿宋"/>
          <w:sz w:val="30"/>
          <w:szCs w:val="30"/>
        </w:rPr>
        <w:t>漓江两岸喀斯特地貌的保护机制。</w:t>
      </w:r>
    </w:p>
    <w:p>
      <w:pPr>
        <w:spacing w:line="440" w:lineRule="exact"/>
        <w:ind w:firstLine="600" w:firstLineChars="200"/>
        <w:rPr>
          <w:rFonts w:eastAsia="仿宋"/>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13</w:t>
      </w:r>
      <w:r>
        <w:rPr>
          <w:rFonts w:hint="eastAsia" w:eastAsia="仿宋"/>
          <w:b/>
          <w:sz w:val="30"/>
          <w:szCs w:val="30"/>
        </w:rPr>
        <w:t>：</w:t>
      </w:r>
      <w:r>
        <w:rPr>
          <w:rFonts w:hint="eastAsia"/>
          <w:b/>
          <w:sz w:val="30"/>
          <w:szCs w:val="30"/>
        </w:rPr>
        <w:t>漓江管理体制机制重点改革项目</w:t>
      </w:r>
    </w:p>
    <w:tbl>
      <w:tblPr>
        <w:tblStyle w:val="16"/>
        <w:tblW w:w="9594" w:type="dxa"/>
        <w:tblInd w:w="95" w:type="dxa"/>
        <w:tblLayout w:type="fixed"/>
        <w:tblCellMar>
          <w:top w:w="0" w:type="dxa"/>
          <w:left w:w="108" w:type="dxa"/>
          <w:bottom w:w="0" w:type="dxa"/>
          <w:right w:w="108" w:type="dxa"/>
        </w:tblCellMar>
      </w:tblPr>
      <w:tblGrid>
        <w:gridCol w:w="1147"/>
        <w:gridCol w:w="2977"/>
        <w:gridCol w:w="3119"/>
        <w:gridCol w:w="2351"/>
      </w:tblGrid>
      <w:tr>
        <w:tblPrEx>
          <w:tblLayout w:type="fixed"/>
        </w:tblPrEx>
        <w:trPr>
          <w:trHeight w:val="451" w:hRule="atLeast"/>
        </w:trPr>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977"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935" w:hRule="atLeast"/>
        </w:trPr>
        <w:tc>
          <w:tcPr>
            <w:tcW w:w="114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建立漓江风景名胜区核心区统筹利益分配机制</w:t>
            </w:r>
          </w:p>
        </w:tc>
        <w:tc>
          <w:tcPr>
            <w:tcW w:w="2977"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制定科学合理的分配机制，统筹兼顾各方利益，有效</w:t>
            </w:r>
            <w:r>
              <w:rPr>
                <w:rFonts w:hint="eastAsia" w:cs="宋体"/>
                <w:kern w:val="0"/>
                <w:sz w:val="22"/>
                <w:szCs w:val="22"/>
                <w:lang w:val="en-US" w:eastAsia="zh-CN"/>
              </w:rPr>
              <w:t>地</w:t>
            </w:r>
            <w:r>
              <w:rPr>
                <w:rFonts w:hint="eastAsia" w:cs="宋体"/>
                <w:kern w:val="0"/>
                <w:sz w:val="22"/>
                <w:szCs w:val="22"/>
              </w:rPr>
              <w:t>把漓江风景名胜区沿江县区和沿岸村民利益统筹起来。加大对漓江风景名胜区保护和管理的资金投入，为漓江风景名胜区统一管理、严格保护和永续利用提供坚实的保障。</w:t>
            </w:r>
          </w:p>
        </w:tc>
        <w:tc>
          <w:tcPr>
            <w:tcW w:w="3119"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将景区门票收入分配改革作为分配体制改革的切入点，从立法层面建立科学合理的利益分配机制。漓江风景名胜区门票收入和风景名胜资源有偿使用费按照收支两条线管理。</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制定出台桂林漓江风景名胜区统筹利益改革方案。</w:t>
            </w:r>
          </w:p>
        </w:tc>
      </w:tr>
    </w:tbl>
    <w:p>
      <w:pPr>
        <w:spacing w:line="440" w:lineRule="exact"/>
        <w:ind w:firstLine="600" w:firstLineChars="200"/>
        <w:rPr>
          <w:rFonts w:eastAsia="仿宋_GB2312"/>
          <w:sz w:val="30"/>
          <w:szCs w:val="30"/>
        </w:rPr>
      </w:pPr>
    </w:p>
    <w:p>
      <w:pPr>
        <w:pStyle w:val="27"/>
        <w:spacing w:before="0" w:after="0" w:line="440" w:lineRule="exact"/>
        <w:ind w:firstLine="590" w:firstLineChars="196"/>
        <w:rPr>
          <w:sz w:val="30"/>
          <w:szCs w:val="30"/>
        </w:rPr>
      </w:pPr>
      <w:bookmarkStart w:id="90" w:name="_Toc456447958"/>
      <w:bookmarkStart w:id="91" w:name="_Toc456552715"/>
      <w:bookmarkStart w:id="92" w:name="_Toc3762"/>
      <w:r>
        <w:rPr>
          <w:rFonts w:hint="eastAsia"/>
          <w:sz w:val="30"/>
          <w:szCs w:val="30"/>
        </w:rPr>
        <w:t>（四）推动服务业综合改革</w:t>
      </w:r>
      <w:bookmarkEnd w:id="90"/>
      <w:bookmarkEnd w:id="91"/>
      <w:bookmarkEnd w:id="92"/>
      <w:bookmarkStart w:id="93" w:name="_Toc439184557"/>
    </w:p>
    <w:p>
      <w:pPr>
        <w:snapToGrid w:val="0"/>
        <w:spacing w:line="440" w:lineRule="exact"/>
        <w:ind w:firstLine="600" w:firstLineChars="200"/>
        <w:rPr>
          <w:rFonts w:eastAsia="仿宋"/>
          <w:sz w:val="30"/>
          <w:szCs w:val="30"/>
        </w:rPr>
      </w:pPr>
      <w:r>
        <w:rPr>
          <w:rFonts w:hint="eastAsia" w:eastAsia="仿宋"/>
          <w:sz w:val="30"/>
          <w:szCs w:val="30"/>
        </w:rPr>
        <w:t>继续争取服务业改革试点</w:t>
      </w:r>
      <w:bookmarkEnd w:id="93"/>
      <w:r>
        <w:rPr>
          <w:rFonts w:hint="eastAsia" w:eastAsia="仿宋"/>
          <w:sz w:val="30"/>
          <w:szCs w:val="30"/>
        </w:rPr>
        <w:t>。争取国家和自治区服务业改革方面的试点，支持服务业企业做大做强，争取将桂林建设成为全国全区服务业发展的先行区和示范区。</w:t>
      </w:r>
      <w:bookmarkStart w:id="94" w:name="_Toc439184558"/>
    </w:p>
    <w:p>
      <w:pPr>
        <w:snapToGrid w:val="0"/>
        <w:spacing w:line="440" w:lineRule="exact"/>
        <w:ind w:firstLine="683" w:firstLineChars="228"/>
        <w:rPr>
          <w:rFonts w:eastAsia="仿宋"/>
          <w:sz w:val="30"/>
          <w:szCs w:val="30"/>
        </w:rPr>
      </w:pPr>
      <w:r>
        <w:rPr>
          <w:rFonts w:hint="eastAsia" w:eastAsia="仿宋"/>
          <w:sz w:val="30"/>
          <w:szCs w:val="30"/>
        </w:rPr>
        <w:t>继续完善相关的机制</w:t>
      </w:r>
      <w:bookmarkEnd w:id="94"/>
      <w:r>
        <w:rPr>
          <w:rFonts w:hint="eastAsia" w:eastAsia="仿宋"/>
          <w:sz w:val="30"/>
          <w:szCs w:val="30"/>
        </w:rPr>
        <w:t>。改革服务业管理体制。贯彻落实国家关于生产性服务业、养老业等实施意见。</w:t>
      </w:r>
      <w:bookmarkStart w:id="95" w:name="_Toc439184560"/>
      <w:r>
        <w:rPr>
          <w:rFonts w:hint="eastAsia" w:eastAsia="仿宋"/>
          <w:sz w:val="30"/>
          <w:szCs w:val="30"/>
        </w:rPr>
        <w:t>加快服务业内部结构调整</w:t>
      </w:r>
      <w:bookmarkEnd w:id="95"/>
      <w:r>
        <w:rPr>
          <w:rFonts w:hint="eastAsia" w:eastAsia="仿宋"/>
          <w:sz w:val="30"/>
          <w:szCs w:val="30"/>
        </w:rPr>
        <w:t>，强力推进现代服务业发展，加快服务业创新发展，打造“</w:t>
      </w:r>
      <w:r>
        <w:rPr>
          <w:rFonts w:eastAsia="仿宋"/>
          <w:sz w:val="30"/>
          <w:szCs w:val="30"/>
        </w:rPr>
        <w:t>345</w:t>
      </w:r>
      <w:r>
        <w:rPr>
          <w:rFonts w:hint="eastAsia" w:eastAsia="仿宋"/>
          <w:sz w:val="30"/>
          <w:szCs w:val="30"/>
        </w:rPr>
        <w:t>”现代服务体系，强力推进一批服务业重点项目建设，不断培育服务业新业态，实现以现代服务业为主导的服务业产业结构。加强服务业统计改革，加强对服务业发展的监测预测，加快统计配套改革。将发展服务业工作和集聚区的发展列入市县政府工作考评，合理设定考核目标。实施工业主辅分离，支持利用老城区工业厂房、仓储用房等存量房产和土地资源，兴办信息服务、高技术服务、文化创意等现代服务业。积极培育行业协会，大力推进旅游、物流、电子信息等行业协会的发展与组建，架设行政管理部门与企业之间的桥梁，促进行业良性有序发展。</w:t>
      </w:r>
      <w:bookmarkStart w:id="96" w:name="_Toc439184559"/>
    </w:p>
    <w:bookmarkEnd w:id="96"/>
    <w:p>
      <w:pPr>
        <w:snapToGrid w:val="0"/>
        <w:spacing w:line="440" w:lineRule="exact"/>
        <w:ind w:firstLine="570"/>
        <w:rPr>
          <w:rFonts w:eastAsia="仿宋"/>
          <w:sz w:val="30"/>
          <w:szCs w:val="30"/>
        </w:rPr>
      </w:pPr>
      <w:r>
        <w:rPr>
          <w:rFonts w:hint="eastAsia" w:eastAsia="仿宋"/>
          <w:sz w:val="30"/>
          <w:szCs w:val="30"/>
        </w:rPr>
        <w:t>加强服务业限上企业培育。将企业培育任务落实到各县区和部门，制定出台桂林市关于进一步加快服务业发展的若干意见，鼓励服务业企业做强做大做优“上限”。</w:t>
      </w:r>
      <w:bookmarkStart w:id="97" w:name="_Toc439184561"/>
      <w:r>
        <w:rPr>
          <w:rFonts w:hint="eastAsia" w:eastAsia="仿宋"/>
          <w:sz w:val="30"/>
          <w:szCs w:val="30"/>
        </w:rPr>
        <w:t>扎实加快集聚区发展</w:t>
      </w:r>
      <w:bookmarkEnd w:id="97"/>
      <w:r>
        <w:rPr>
          <w:rFonts w:hint="eastAsia" w:eastAsia="仿宋"/>
          <w:sz w:val="30"/>
          <w:szCs w:val="30"/>
        </w:rPr>
        <w:t>。加强集聚区规划，明确目标和功能定位。推进集聚区认定申报工作，实施分类指导扶持政策。加快公共服务平台建设，完善集聚区配套服务功能。</w:t>
      </w:r>
    </w:p>
    <w:p>
      <w:pPr>
        <w:snapToGrid w:val="0"/>
        <w:spacing w:line="440" w:lineRule="exact"/>
        <w:ind w:firstLine="570"/>
        <w:rPr>
          <w:rFonts w:eastAsia="仿宋"/>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14</w:t>
      </w:r>
      <w:r>
        <w:rPr>
          <w:rFonts w:hint="eastAsia" w:eastAsia="仿宋"/>
          <w:b/>
          <w:sz w:val="30"/>
          <w:szCs w:val="30"/>
        </w:rPr>
        <w:t>：</w:t>
      </w:r>
      <w:r>
        <w:rPr>
          <w:rFonts w:hint="eastAsia"/>
          <w:b/>
          <w:sz w:val="30"/>
          <w:szCs w:val="30"/>
        </w:rPr>
        <w:t>服务业综合重点改革项目</w:t>
      </w:r>
    </w:p>
    <w:tbl>
      <w:tblPr>
        <w:tblStyle w:val="16"/>
        <w:tblW w:w="9594" w:type="dxa"/>
        <w:tblInd w:w="95" w:type="dxa"/>
        <w:tblLayout w:type="fixed"/>
        <w:tblCellMar>
          <w:top w:w="0" w:type="dxa"/>
          <w:left w:w="108" w:type="dxa"/>
          <w:bottom w:w="0" w:type="dxa"/>
          <w:right w:w="108" w:type="dxa"/>
        </w:tblCellMar>
      </w:tblPr>
      <w:tblGrid>
        <w:gridCol w:w="1289"/>
        <w:gridCol w:w="2835"/>
        <w:gridCol w:w="3119"/>
        <w:gridCol w:w="2351"/>
      </w:tblGrid>
      <w:tr>
        <w:tblPrEx>
          <w:tblLayout w:type="fixed"/>
          <w:tblCellMar>
            <w:top w:w="0" w:type="dxa"/>
            <w:left w:w="108" w:type="dxa"/>
            <w:bottom w:w="0" w:type="dxa"/>
            <w:right w:w="108" w:type="dxa"/>
          </w:tblCellMar>
        </w:tblPrEx>
        <w:trPr>
          <w:trHeight w:val="451"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835"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368"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深化服务业综合改革</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优化服务业发展的环境，完善服务业发展的体制机制。</w:t>
            </w:r>
          </w:p>
        </w:tc>
        <w:tc>
          <w:tcPr>
            <w:tcW w:w="3119"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争取国家和自治区服务业改革方面的试点，继续完善相关的机制。加强服务业限上企业培育。</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出台并实施服务业发展的一系列政策。</w:t>
            </w:r>
          </w:p>
        </w:tc>
      </w:tr>
    </w:tbl>
    <w:p>
      <w:pPr>
        <w:snapToGrid w:val="0"/>
        <w:spacing w:line="440" w:lineRule="exact"/>
        <w:ind w:firstLine="570"/>
        <w:rPr>
          <w:rFonts w:eastAsia="仿宋"/>
          <w:sz w:val="30"/>
          <w:szCs w:val="30"/>
        </w:rPr>
      </w:pPr>
    </w:p>
    <w:p>
      <w:pPr>
        <w:pStyle w:val="3"/>
        <w:spacing w:line="440" w:lineRule="exact"/>
        <w:ind w:left="0" w:leftChars="0" w:firstLine="590" w:firstLineChars="196"/>
        <w:rPr>
          <w:rFonts w:ascii="Times New Roman" w:hAnsi="Times New Roman" w:eastAsia="黑体"/>
          <w:sz w:val="30"/>
          <w:szCs w:val="30"/>
        </w:rPr>
      </w:pPr>
      <w:bookmarkStart w:id="98" w:name="_Toc456552716"/>
      <w:bookmarkStart w:id="99" w:name="_Toc456447959"/>
      <w:bookmarkStart w:id="100" w:name="_Toc5133"/>
      <w:r>
        <w:rPr>
          <w:rFonts w:hint="eastAsia" w:ascii="Times New Roman" w:hAnsi="Times New Roman" w:eastAsia="黑体"/>
          <w:sz w:val="30"/>
          <w:szCs w:val="30"/>
        </w:rPr>
        <w:t>五、</w:t>
      </w:r>
      <w:r>
        <w:fldChar w:fldCharType="begin"/>
      </w:r>
      <w:r>
        <w:instrText xml:space="preserve"> HYPERLINK "https://www.baidu.com/link?url=YVLIJLMv9vuW_6H-j0jZGTSovjKi060ajyOof1hQ3HcfVsxZQVSdBiJy7kGRokzHkekpMerSyAIQy77BWH42Ltqs6b1zhLj5Cf4hBE-etl7&amp;wd=&amp;eqid=815262180007d9a6000000065736d6ce" \t "_blank" </w:instrText>
      </w:r>
      <w:r>
        <w:fldChar w:fldCharType="separate"/>
      </w:r>
      <w:r>
        <w:rPr>
          <w:rFonts w:hint="eastAsia" w:ascii="Times New Roman" w:hAnsi="Times New Roman" w:eastAsia="黑体"/>
          <w:sz w:val="30"/>
          <w:szCs w:val="30"/>
        </w:rPr>
        <w:t>深化农村体制改革，推进现代农业发展</w:t>
      </w:r>
      <w:bookmarkEnd w:id="98"/>
      <w:bookmarkEnd w:id="99"/>
      <w:r>
        <w:rPr>
          <w:rFonts w:hint="eastAsia" w:ascii="Times New Roman" w:hAnsi="Times New Roman" w:eastAsia="黑体"/>
          <w:sz w:val="30"/>
          <w:szCs w:val="30"/>
        </w:rPr>
        <w:fldChar w:fldCharType="end"/>
      </w:r>
      <w:bookmarkEnd w:id="100"/>
    </w:p>
    <w:p>
      <w:pPr>
        <w:pStyle w:val="27"/>
        <w:spacing w:before="0" w:after="0" w:line="440" w:lineRule="exact"/>
        <w:ind w:firstLine="590" w:firstLineChars="196"/>
        <w:rPr>
          <w:sz w:val="30"/>
          <w:szCs w:val="30"/>
        </w:rPr>
      </w:pPr>
      <w:bookmarkStart w:id="101" w:name="_Toc4775"/>
      <w:bookmarkStart w:id="102" w:name="_Toc456447960"/>
      <w:bookmarkStart w:id="103" w:name="_Toc456552717"/>
      <w:r>
        <w:rPr>
          <w:rFonts w:hint="eastAsia"/>
          <w:sz w:val="30"/>
          <w:szCs w:val="30"/>
        </w:rPr>
        <w:t>（一）推进农村集体产权制度改革</w:t>
      </w:r>
      <w:bookmarkEnd w:id="101"/>
      <w:bookmarkEnd w:id="102"/>
      <w:bookmarkEnd w:id="103"/>
    </w:p>
    <w:p>
      <w:pPr>
        <w:tabs>
          <w:tab w:val="left" w:pos="5760"/>
        </w:tabs>
        <w:spacing w:line="440" w:lineRule="exact"/>
        <w:ind w:firstLine="600" w:firstLineChars="200"/>
        <w:rPr>
          <w:rFonts w:eastAsia="仿宋" w:cs="仿宋_GB2312"/>
          <w:sz w:val="30"/>
          <w:szCs w:val="30"/>
        </w:rPr>
      </w:pPr>
      <w:r>
        <w:rPr>
          <w:rFonts w:hint="eastAsia" w:eastAsia="仿宋" w:cs="仿宋_GB2312"/>
          <w:sz w:val="30"/>
          <w:szCs w:val="30"/>
        </w:rPr>
        <w:t>探索农村集体产权权利多样化实现形式，稳妥推进集体产权股份制改革。建立规范的产权登记制度，加快推进农村承包地、宅基地、林地、住房、农村小型水利工程确权登记颁证工作</w:t>
      </w:r>
      <w:r>
        <w:rPr>
          <w:rFonts w:eastAsia="仿宋" w:cs="仿宋_GB2312"/>
          <w:sz w:val="30"/>
          <w:szCs w:val="30"/>
        </w:rPr>
        <w:t>,</w:t>
      </w:r>
      <w:r>
        <w:rPr>
          <w:rFonts w:hint="eastAsia" w:eastAsia="仿宋" w:cs="仿宋_GB2312"/>
          <w:sz w:val="30"/>
          <w:szCs w:val="30"/>
        </w:rPr>
        <w:t>全面完成农村土地承包经营权确权登记颁证。建立农村产权流转交易市场</w:t>
      </w:r>
      <w:r>
        <w:rPr>
          <w:rFonts w:eastAsia="仿宋" w:cs="仿宋_GB2312"/>
          <w:sz w:val="30"/>
          <w:szCs w:val="30"/>
        </w:rPr>
        <w:t>,</w:t>
      </w:r>
      <w:r>
        <w:rPr>
          <w:rFonts w:hint="eastAsia" w:eastAsia="仿宋" w:cs="仿宋_GB2312"/>
          <w:sz w:val="30"/>
          <w:szCs w:val="30"/>
        </w:rPr>
        <w:t>完善产权评估制度</w:t>
      </w:r>
      <w:r>
        <w:rPr>
          <w:rFonts w:eastAsia="仿宋" w:cs="仿宋_GB2312"/>
          <w:sz w:val="30"/>
          <w:szCs w:val="30"/>
        </w:rPr>
        <w:t>,</w:t>
      </w:r>
      <w:r>
        <w:rPr>
          <w:rFonts w:hint="eastAsia" w:eastAsia="仿宋" w:cs="仿宋_GB2312"/>
          <w:sz w:val="30"/>
          <w:szCs w:val="30"/>
        </w:rPr>
        <w:t>推动农村产权流转交易公开、公正、规范运行。建立包括农村承包地、农村集体建设用地、农村集体资产股权、农民房屋产权和农村宅基地等农村产权的综合交易平台。探索农村产权自愿有偿退出机制，支持引导其依法自愿有偿转让上述权益。建立土地流转有形市场。建立增加农民财产性收入新机制，依法通过出租、转让、入股、抵押、担保等方式盘活农户各类产权，增加农民财产性收入。完善多元补偿安置机制，提高农民在土地增值收益中的分配比例，保障被征地农民长远生计。完善集体林权制度改革的配套政策。健全农村集体“三资”管理监督和收益分配制度。</w:t>
      </w:r>
    </w:p>
    <w:p>
      <w:pPr>
        <w:tabs>
          <w:tab w:val="left" w:pos="5760"/>
        </w:tabs>
        <w:spacing w:line="440" w:lineRule="exact"/>
        <w:ind w:firstLine="600" w:firstLineChars="200"/>
        <w:rPr>
          <w:rFonts w:eastAsia="仿宋" w:cs="仿宋_GB2312"/>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15</w:t>
      </w:r>
      <w:r>
        <w:rPr>
          <w:rFonts w:hint="eastAsia" w:eastAsia="仿宋"/>
          <w:b/>
          <w:sz w:val="30"/>
          <w:szCs w:val="30"/>
        </w:rPr>
        <w:t>：</w:t>
      </w:r>
      <w:r>
        <w:rPr>
          <w:rFonts w:hint="eastAsia"/>
          <w:b/>
          <w:sz w:val="30"/>
          <w:szCs w:val="30"/>
        </w:rPr>
        <w:t>林权制度重点改革项目</w:t>
      </w:r>
    </w:p>
    <w:tbl>
      <w:tblPr>
        <w:tblStyle w:val="16"/>
        <w:tblW w:w="9594" w:type="dxa"/>
        <w:tblInd w:w="95" w:type="dxa"/>
        <w:tblLayout w:type="fixed"/>
        <w:tblCellMar>
          <w:top w:w="0" w:type="dxa"/>
          <w:left w:w="108" w:type="dxa"/>
          <w:bottom w:w="0" w:type="dxa"/>
          <w:right w:w="108" w:type="dxa"/>
        </w:tblCellMar>
      </w:tblPr>
      <w:tblGrid>
        <w:gridCol w:w="1289"/>
        <w:gridCol w:w="2835"/>
        <w:gridCol w:w="3119"/>
        <w:gridCol w:w="2351"/>
      </w:tblGrid>
      <w:tr>
        <w:tblPrEx>
          <w:tblLayout w:type="fixed"/>
          <w:tblCellMar>
            <w:top w:w="0" w:type="dxa"/>
            <w:left w:w="108" w:type="dxa"/>
            <w:bottom w:w="0" w:type="dxa"/>
            <w:right w:w="108" w:type="dxa"/>
          </w:tblCellMar>
        </w:tblPrEx>
        <w:trPr>
          <w:trHeight w:val="451"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835"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35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深化林权制度改革</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落实集体林权权能，创新林业经营机制。</w:t>
            </w:r>
          </w:p>
        </w:tc>
        <w:tc>
          <w:tcPr>
            <w:tcW w:w="3119"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以林权管理为重点，建立规范有序的森林资源流转市场，完善国有林场经营机制。</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（一）制定深化集体林权制度改革工作方案。（二）制定集体林权抵押贷款管理办法。</w:t>
            </w:r>
          </w:p>
        </w:tc>
      </w:tr>
    </w:tbl>
    <w:p>
      <w:pPr>
        <w:tabs>
          <w:tab w:val="left" w:pos="5760"/>
        </w:tabs>
        <w:spacing w:line="440" w:lineRule="exact"/>
        <w:ind w:firstLine="600" w:firstLineChars="200"/>
        <w:rPr>
          <w:rFonts w:eastAsia="仿宋" w:cs="仿宋_GB2312"/>
          <w:sz w:val="30"/>
          <w:szCs w:val="30"/>
        </w:rPr>
      </w:pPr>
    </w:p>
    <w:p>
      <w:pPr>
        <w:pStyle w:val="27"/>
        <w:spacing w:before="0" w:after="0" w:line="440" w:lineRule="exact"/>
        <w:ind w:firstLine="590" w:firstLineChars="196"/>
        <w:rPr>
          <w:sz w:val="30"/>
          <w:szCs w:val="30"/>
        </w:rPr>
      </w:pPr>
      <w:bookmarkStart w:id="104" w:name="_Toc456552718"/>
      <w:bookmarkStart w:id="105" w:name="_Toc456447961"/>
      <w:bookmarkStart w:id="106" w:name="_Toc21574"/>
      <w:r>
        <w:rPr>
          <w:sz w:val="30"/>
          <w:szCs w:val="30"/>
        </w:rPr>
        <w:t>(</w:t>
      </w:r>
      <w:r>
        <w:rPr>
          <w:rFonts w:hint="eastAsia"/>
          <w:sz w:val="30"/>
          <w:szCs w:val="30"/>
        </w:rPr>
        <w:t>二）推进农村土地制度改革</w:t>
      </w:r>
      <w:bookmarkEnd w:id="104"/>
      <w:bookmarkEnd w:id="105"/>
      <w:bookmarkEnd w:id="106"/>
    </w:p>
    <w:p>
      <w:pPr>
        <w:spacing w:line="440" w:lineRule="exact"/>
        <w:ind w:firstLine="640"/>
        <w:rPr>
          <w:rFonts w:eastAsia="仿宋" w:cs="仿宋_GB2312"/>
          <w:sz w:val="30"/>
          <w:szCs w:val="30"/>
        </w:rPr>
      </w:pPr>
      <w:r>
        <w:rPr>
          <w:rFonts w:hint="eastAsia" w:eastAsia="仿宋" w:cs="仿宋_GB2312"/>
          <w:sz w:val="30"/>
          <w:szCs w:val="30"/>
        </w:rPr>
        <w:t>有序推进农村土地制度改革，稳定农户承包权，放活土地经营权。在符合规划和用途管制的前提下，允许农村集体经营性建设用地出让、租赁、入股，实行与国有土地同等入市、同权同价。建立桂林市主体平等、产权清晰、规则一致、竞争有序的城乡统一的建设用地土地市场。在保障农户依法取得的宅基地用益物权基础上，改革完善农村宅基地制度，探索农民住房保障的新机制，对农民住房财产权作出明确界定，探索宅基地有偿使用制度和自愿有偿退出机制，探索农民住房财产权抵押、担保、转让的有效途径。推进农村土地征收制度改革，缩小征地范围</w:t>
      </w:r>
      <w:r>
        <w:rPr>
          <w:rFonts w:eastAsia="仿宋" w:cs="仿宋_GB2312"/>
          <w:sz w:val="30"/>
          <w:szCs w:val="30"/>
        </w:rPr>
        <w:t>,</w:t>
      </w:r>
      <w:r>
        <w:rPr>
          <w:rFonts w:hint="eastAsia" w:eastAsia="仿宋" w:cs="仿宋_GB2312"/>
          <w:sz w:val="30"/>
          <w:szCs w:val="30"/>
        </w:rPr>
        <w:t>规范征地程序</w:t>
      </w:r>
      <w:r>
        <w:rPr>
          <w:rFonts w:eastAsia="仿宋" w:cs="仿宋_GB2312"/>
          <w:sz w:val="30"/>
          <w:szCs w:val="30"/>
        </w:rPr>
        <w:t>,</w:t>
      </w:r>
      <w:r>
        <w:rPr>
          <w:rFonts w:hint="eastAsia" w:eastAsia="仿宋" w:cs="仿宋_GB2312"/>
          <w:sz w:val="30"/>
          <w:szCs w:val="30"/>
        </w:rPr>
        <w:t>完善对被征地农民合理、规范、多元保障机制</w:t>
      </w:r>
      <w:r>
        <w:rPr>
          <w:rFonts w:eastAsia="仿宋" w:cs="仿宋_GB2312"/>
          <w:sz w:val="30"/>
          <w:szCs w:val="30"/>
        </w:rPr>
        <w:t>,</w:t>
      </w:r>
      <w:r>
        <w:rPr>
          <w:rFonts w:hint="eastAsia" w:eastAsia="仿宋" w:cs="仿宋_GB2312"/>
          <w:sz w:val="30"/>
          <w:szCs w:val="30"/>
        </w:rPr>
        <w:t>让农民公平分享土地增值收益。积极探索农民利用集体土地参与旅游开发、分享收益的模式。</w:t>
      </w:r>
    </w:p>
    <w:p>
      <w:pPr>
        <w:spacing w:line="440" w:lineRule="exact"/>
        <w:ind w:firstLine="640"/>
        <w:rPr>
          <w:rFonts w:eastAsia="仿宋" w:cs="仿宋_GB2312"/>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16</w:t>
      </w:r>
      <w:r>
        <w:rPr>
          <w:rFonts w:hint="eastAsia" w:eastAsia="仿宋"/>
          <w:b/>
          <w:sz w:val="30"/>
          <w:szCs w:val="30"/>
        </w:rPr>
        <w:t>：</w:t>
      </w:r>
      <w:r>
        <w:rPr>
          <w:rFonts w:hint="eastAsia"/>
          <w:b/>
          <w:sz w:val="30"/>
          <w:szCs w:val="30"/>
        </w:rPr>
        <w:t>农村土地重点改革项目</w:t>
      </w:r>
    </w:p>
    <w:tbl>
      <w:tblPr>
        <w:tblStyle w:val="16"/>
        <w:tblW w:w="9594" w:type="dxa"/>
        <w:tblInd w:w="95" w:type="dxa"/>
        <w:tblLayout w:type="fixed"/>
        <w:tblCellMar>
          <w:top w:w="0" w:type="dxa"/>
          <w:left w:w="108" w:type="dxa"/>
          <w:bottom w:w="0" w:type="dxa"/>
          <w:right w:w="108" w:type="dxa"/>
        </w:tblCellMar>
      </w:tblPr>
      <w:tblGrid>
        <w:gridCol w:w="1289"/>
        <w:gridCol w:w="2835"/>
        <w:gridCol w:w="3119"/>
        <w:gridCol w:w="2351"/>
      </w:tblGrid>
      <w:tr>
        <w:tblPrEx>
          <w:tblLayout w:type="fixed"/>
          <w:tblCellMar>
            <w:top w:w="0" w:type="dxa"/>
            <w:left w:w="108" w:type="dxa"/>
            <w:bottom w:w="0" w:type="dxa"/>
            <w:right w:w="108" w:type="dxa"/>
          </w:tblCellMar>
        </w:tblPrEx>
        <w:trPr>
          <w:trHeight w:val="451"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835"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65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农村土地承包权确权</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对农村土地承包经营权准确确权，为农村土地承包权权能实施提供保证。</w:t>
            </w:r>
          </w:p>
        </w:tc>
        <w:tc>
          <w:tcPr>
            <w:tcW w:w="3119"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基本完成农村土地承包经营权确权登记工作、建立农村土地承包经营权确权登记管理系统。</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基本完成农村土地承包经营权确权登记工作、建立农村土地承包经营权确权登记管理系统。</w:t>
            </w:r>
          </w:p>
        </w:tc>
      </w:tr>
      <w:tr>
        <w:tblPrEx>
          <w:tblLayout w:type="fixed"/>
          <w:tblCellMar>
            <w:top w:w="0" w:type="dxa"/>
            <w:left w:w="108" w:type="dxa"/>
            <w:bottom w:w="0" w:type="dxa"/>
            <w:right w:w="108" w:type="dxa"/>
          </w:tblCellMar>
        </w:tblPrEx>
        <w:trPr>
          <w:trHeight w:val="1298"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农村土地经营权有序流转</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引导和规范农村土地经营权有序流转，发展多种形式的适度规模农业。</w:t>
            </w:r>
          </w:p>
        </w:tc>
        <w:tc>
          <w:tcPr>
            <w:tcW w:w="3119"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引导和规范农村土地经营权有序流转</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制定关于引导和规范农村土地经营权有序流转的意见。</w:t>
            </w:r>
          </w:p>
        </w:tc>
      </w:tr>
    </w:tbl>
    <w:p>
      <w:pPr>
        <w:spacing w:line="440" w:lineRule="exact"/>
        <w:ind w:firstLine="640"/>
        <w:rPr>
          <w:rFonts w:eastAsia="仿宋" w:cs="仿宋_GB2312"/>
          <w:sz w:val="30"/>
          <w:szCs w:val="30"/>
        </w:rPr>
      </w:pPr>
    </w:p>
    <w:p>
      <w:pPr>
        <w:pStyle w:val="27"/>
        <w:spacing w:before="0" w:after="0" w:line="440" w:lineRule="exact"/>
        <w:ind w:firstLine="590" w:firstLineChars="196"/>
        <w:rPr>
          <w:sz w:val="30"/>
          <w:szCs w:val="30"/>
        </w:rPr>
      </w:pPr>
      <w:bookmarkStart w:id="107" w:name="_Toc456447962"/>
      <w:bookmarkStart w:id="108" w:name="_Toc456552719"/>
      <w:bookmarkStart w:id="109" w:name="_Toc23251"/>
      <w:r>
        <w:rPr>
          <w:rFonts w:hint="eastAsia"/>
          <w:sz w:val="30"/>
          <w:szCs w:val="30"/>
        </w:rPr>
        <w:t>（三）创新现代农业经营体制</w:t>
      </w:r>
      <w:bookmarkEnd w:id="107"/>
      <w:bookmarkEnd w:id="108"/>
      <w:r>
        <w:rPr>
          <w:rFonts w:hint="eastAsia"/>
          <w:sz w:val="30"/>
          <w:szCs w:val="30"/>
        </w:rPr>
        <w:t>机制</w:t>
      </w:r>
      <w:bookmarkEnd w:id="109"/>
    </w:p>
    <w:p>
      <w:pPr>
        <w:spacing w:line="440" w:lineRule="exact"/>
        <w:ind w:firstLine="600" w:firstLineChars="200"/>
        <w:rPr>
          <w:rFonts w:eastAsia="仿宋" w:cs="Arial"/>
          <w:sz w:val="30"/>
          <w:szCs w:val="30"/>
        </w:rPr>
      </w:pPr>
      <w:r>
        <w:rPr>
          <w:rFonts w:hint="eastAsia" w:eastAsia="仿宋" w:cs="Arial"/>
          <w:sz w:val="30"/>
          <w:szCs w:val="30"/>
        </w:rPr>
        <w:t>坚持和完善农村基本经营制度，坚持农民家庭经营主体地位。按照依法自愿有偿的原则，引导农民以多种方式、规范有序流转承包地的经营权，积极推行土地委托代理、土地股份合作、土地信托、土地联耕联种等土地流转新形式，发展多种形式适度规模经营。重点发展以家庭成员为主要劳动力、以农业为主要收入来源、从事专业化集约化农业生产的规模适度的农户家庭农场，按照自愿原则开展家庭农场注册登记，确认其市场主体资格，对具有一定规模的家庭农场，在财政、金融、税收、保险等方面给予支持。提升壮大农民专业合作社，创建“运行规范化、生产标准化、经营品牌化、社员技能化、产品安全化”为主要内容的农民专业合作社，引导农民专业合作社拓宽服务领域，促进规范发展，把示范社作为政策扶持重点。引导农民以土地经营权入股合作社和龙头企业。鼓励工商资本发展适合企业化经营的现代种养业、农产品加工流通和农业社会化服务，完善农业服务体系。采取财政扶持、税费优惠、信贷支持等措施，支持新型农业经营主体开展社会化服务，推行合作式、订单式、托管式服务，选择部分符合条件的农民合作社开展农业生产全程社会化服务试点。建立职业农民培育体系，加快培育新型职业农民。启动农村流通设施和农产品批发市场信息化提升工程，加强农产品电子商务平台建设。深化供销合作社综合改革。</w:t>
      </w:r>
    </w:p>
    <w:p>
      <w:pPr>
        <w:spacing w:line="440" w:lineRule="exact"/>
        <w:ind w:firstLine="600" w:firstLineChars="200"/>
        <w:rPr>
          <w:rFonts w:eastAsia="仿宋" w:cs="Arial"/>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17</w:t>
      </w:r>
      <w:r>
        <w:rPr>
          <w:rFonts w:hint="eastAsia" w:eastAsia="仿宋"/>
          <w:b/>
          <w:sz w:val="30"/>
          <w:szCs w:val="30"/>
        </w:rPr>
        <w:t>：</w:t>
      </w:r>
      <w:r>
        <w:rPr>
          <w:rFonts w:hint="eastAsia"/>
          <w:b/>
          <w:sz w:val="30"/>
          <w:szCs w:val="30"/>
        </w:rPr>
        <w:t>农业经营体制机制重点改革项目</w:t>
      </w:r>
    </w:p>
    <w:tbl>
      <w:tblPr>
        <w:tblStyle w:val="16"/>
        <w:tblW w:w="9594" w:type="dxa"/>
        <w:tblInd w:w="95" w:type="dxa"/>
        <w:tblLayout w:type="fixed"/>
        <w:tblCellMar>
          <w:top w:w="0" w:type="dxa"/>
          <w:left w:w="108" w:type="dxa"/>
          <w:bottom w:w="0" w:type="dxa"/>
          <w:right w:w="108" w:type="dxa"/>
        </w:tblCellMar>
      </w:tblPr>
      <w:tblGrid>
        <w:gridCol w:w="1289"/>
        <w:gridCol w:w="2835"/>
        <w:gridCol w:w="3119"/>
        <w:gridCol w:w="2351"/>
      </w:tblGrid>
      <w:tr>
        <w:tblPrEx>
          <w:tblLayout w:type="fixed"/>
          <w:tblCellMar>
            <w:top w:w="0" w:type="dxa"/>
            <w:left w:w="108" w:type="dxa"/>
            <w:bottom w:w="0" w:type="dxa"/>
            <w:right w:w="108" w:type="dxa"/>
          </w:tblCellMar>
        </w:tblPrEx>
        <w:trPr>
          <w:trHeight w:val="451"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835"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65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大力培育“两个主体”</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贯彻落实《关于大力培育新型农业经营主体和服务主体的实施意见》。</w:t>
            </w:r>
          </w:p>
        </w:tc>
        <w:tc>
          <w:tcPr>
            <w:tcW w:w="3119"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大力培育新型农业经营主体和服务主体。</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到</w:t>
            </w:r>
            <w:r>
              <w:rPr>
                <w:rFonts w:cs="宋体"/>
                <w:kern w:val="0"/>
                <w:sz w:val="22"/>
                <w:szCs w:val="22"/>
              </w:rPr>
              <w:t>2020</w:t>
            </w:r>
            <w:r>
              <w:rPr>
                <w:rFonts w:hint="eastAsia" w:cs="宋体"/>
                <w:kern w:val="0"/>
                <w:sz w:val="22"/>
                <w:szCs w:val="22"/>
              </w:rPr>
              <w:t>年，力争全市新型职业农民达到</w:t>
            </w:r>
            <w:r>
              <w:rPr>
                <w:rFonts w:cs="宋体"/>
                <w:kern w:val="0"/>
                <w:sz w:val="22"/>
                <w:szCs w:val="22"/>
              </w:rPr>
              <w:t>10000</w:t>
            </w:r>
            <w:r>
              <w:rPr>
                <w:rFonts w:hint="eastAsia" w:cs="宋体"/>
                <w:kern w:val="0"/>
                <w:sz w:val="22"/>
                <w:szCs w:val="22"/>
              </w:rPr>
              <w:t>人等。</w:t>
            </w:r>
          </w:p>
        </w:tc>
      </w:tr>
      <w:tr>
        <w:tblPrEx>
          <w:tblLayout w:type="fixed"/>
          <w:tblCellMar>
            <w:top w:w="0" w:type="dxa"/>
            <w:left w:w="108" w:type="dxa"/>
            <w:bottom w:w="0" w:type="dxa"/>
            <w:right w:w="108" w:type="dxa"/>
          </w:tblCellMar>
        </w:tblPrEx>
        <w:trPr>
          <w:trHeight w:val="165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加快供销合作社改革发展</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以强化基层社和创新联合社治理机制为重点，按照政事分开、社企分开的方向，因地制宜推进体制改革和机制创新。</w:t>
            </w:r>
          </w:p>
        </w:tc>
        <w:tc>
          <w:tcPr>
            <w:tcW w:w="3119"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按照基层基础坚实、服务功能完备、管理运行规范的要求，着力推进组织体系、服务体系、经营体系、合作方式、农村金融体系和治理机制改革创新，增强供销合作社的发展活力和为农服务能力。</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制定供销合作社综合改革方案。</w:t>
            </w:r>
          </w:p>
        </w:tc>
      </w:tr>
    </w:tbl>
    <w:p>
      <w:pPr>
        <w:spacing w:line="440" w:lineRule="exact"/>
        <w:ind w:firstLine="600" w:firstLineChars="200"/>
        <w:rPr>
          <w:rFonts w:eastAsia="仿宋" w:cs="Arial"/>
          <w:sz w:val="30"/>
          <w:szCs w:val="30"/>
        </w:rPr>
      </w:pPr>
    </w:p>
    <w:p>
      <w:pPr>
        <w:pStyle w:val="3"/>
        <w:spacing w:line="440" w:lineRule="exact"/>
        <w:ind w:left="0" w:leftChars="0" w:firstLine="590" w:firstLineChars="196"/>
        <w:rPr>
          <w:rFonts w:ascii="Times New Roman" w:hAnsi="Times New Roman" w:eastAsia="黑体"/>
          <w:sz w:val="30"/>
          <w:szCs w:val="30"/>
        </w:rPr>
      </w:pPr>
      <w:bookmarkStart w:id="110" w:name="_Toc456447963"/>
      <w:bookmarkStart w:id="111" w:name="_Toc456552720"/>
      <w:bookmarkStart w:id="112" w:name="_Toc6626"/>
      <w:r>
        <w:rPr>
          <w:rFonts w:hint="eastAsia" w:ascii="Times New Roman" w:hAnsi="Times New Roman" w:eastAsia="黑体"/>
          <w:sz w:val="30"/>
          <w:szCs w:val="30"/>
        </w:rPr>
        <w:t>六、构建新型城镇化发展体制机制，推进新型城镇化建设</w:t>
      </w:r>
      <w:bookmarkEnd w:id="110"/>
      <w:bookmarkEnd w:id="111"/>
      <w:bookmarkEnd w:id="112"/>
    </w:p>
    <w:p>
      <w:pPr>
        <w:pStyle w:val="27"/>
        <w:spacing w:before="0" w:after="0" w:line="440" w:lineRule="exact"/>
        <w:ind w:firstLine="590" w:firstLineChars="196"/>
        <w:rPr>
          <w:sz w:val="30"/>
          <w:szCs w:val="30"/>
        </w:rPr>
      </w:pPr>
      <w:bookmarkStart w:id="113" w:name="_Toc456447964"/>
      <w:bookmarkStart w:id="114" w:name="_Toc456552721"/>
      <w:bookmarkStart w:id="115" w:name="_Toc1474"/>
      <w:r>
        <w:rPr>
          <w:rFonts w:hint="eastAsia"/>
          <w:sz w:val="30"/>
          <w:szCs w:val="30"/>
        </w:rPr>
        <w:t>（一）建立和完善城乡协调发展的体制机制</w:t>
      </w:r>
      <w:bookmarkEnd w:id="113"/>
      <w:bookmarkEnd w:id="114"/>
      <w:bookmarkEnd w:id="115"/>
    </w:p>
    <w:p>
      <w:pPr>
        <w:snapToGrid w:val="0"/>
        <w:spacing w:line="440" w:lineRule="exact"/>
        <w:ind w:firstLine="600" w:firstLineChars="200"/>
        <w:jc w:val="left"/>
        <w:rPr>
          <w:rFonts w:eastAsia="仿宋" w:cs="Arial"/>
          <w:sz w:val="30"/>
          <w:szCs w:val="30"/>
        </w:rPr>
      </w:pPr>
      <w:r>
        <w:rPr>
          <w:rFonts w:hint="eastAsia" w:eastAsia="仿宋" w:cs="Arial"/>
          <w:sz w:val="30"/>
          <w:szCs w:val="30"/>
        </w:rPr>
        <w:t>提升城市综合承载能力，打破城乡二元结构，建立以工促农、以城带乡、工农互惠、城乡一体的体制机制。推动有利于新型城镇化发展的土地、财税、社保、住房、区划、投融资等体制机制改革，建立起与新型城镇化相适应的规划建设体制，推进发展规划、城乡规划、土地利用总体规划“三规合一”。完善相关机制，加快新型城镇化示范乡镇建设和特色街区改造。</w:t>
      </w:r>
    </w:p>
    <w:p>
      <w:pPr>
        <w:pStyle w:val="27"/>
        <w:spacing w:before="0" w:after="0" w:line="440" w:lineRule="exact"/>
        <w:ind w:firstLine="590" w:firstLineChars="196"/>
        <w:rPr>
          <w:sz w:val="30"/>
          <w:szCs w:val="30"/>
        </w:rPr>
      </w:pPr>
      <w:bookmarkStart w:id="116" w:name="_Toc456447965"/>
      <w:bookmarkStart w:id="117" w:name="_Toc9068"/>
      <w:bookmarkStart w:id="118" w:name="_Toc456552722"/>
      <w:r>
        <w:rPr>
          <w:rFonts w:hint="eastAsia"/>
          <w:sz w:val="30"/>
          <w:szCs w:val="30"/>
        </w:rPr>
        <w:t>（二）加快与胜地建设需要相适应的区划调整</w:t>
      </w:r>
      <w:bookmarkEnd w:id="116"/>
      <w:bookmarkEnd w:id="117"/>
      <w:bookmarkEnd w:id="118"/>
    </w:p>
    <w:p>
      <w:pPr>
        <w:snapToGrid w:val="0"/>
        <w:spacing w:line="440" w:lineRule="exact"/>
        <w:ind w:firstLine="600" w:firstLineChars="200"/>
        <w:jc w:val="left"/>
        <w:rPr>
          <w:rFonts w:eastAsia="仿宋" w:cs="Arial"/>
          <w:sz w:val="30"/>
          <w:szCs w:val="30"/>
        </w:rPr>
      </w:pPr>
      <w:r>
        <w:rPr>
          <w:rFonts w:hint="eastAsia" w:eastAsia="仿宋" w:cs="Arial"/>
          <w:sz w:val="30"/>
          <w:szCs w:val="30"/>
        </w:rPr>
        <w:t>大力推动行政区划调整，提高桂林城镇化水平，加快中小城市建设步伐，建设以桂林主城区为中心，全州、荔浦副中心城市为支撑，各县城和小城镇分工明确、结构合理、特色鲜明、协调发展的桂北城镇群。加快实现灵川、阳朔与主城区同城化发展步伐。推进全州国家新型城镇化综合试点，完成荔浦县撤县改市工作，加快全州撤县改市步伐。优化城市空间布局，构建桂林老城区疏解提升与项目建设、城中村改造有机结合的体制机制。进一步提高城市社区区划布局合理性，加快启动城区区划调整。</w:t>
      </w:r>
    </w:p>
    <w:p>
      <w:pPr>
        <w:pStyle w:val="27"/>
        <w:spacing w:before="0" w:after="0" w:line="440" w:lineRule="exact"/>
        <w:ind w:firstLine="590" w:firstLineChars="196"/>
        <w:rPr>
          <w:sz w:val="30"/>
          <w:szCs w:val="30"/>
        </w:rPr>
      </w:pPr>
      <w:bookmarkStart w:id="119" w:name="_Toc456447966"/>
      <w:bookmarkStart w:id="120" w:name="_Toc20796"/>
      <w:bookmarkStart w:id="121" w:name="_Toc456552723"/>
      <w:r>
        <w:rPr>
          <w:rFonts w:hint="eastAsia"/>
          <w:sz w:val="30"/>
          <w:szCs w:val="30"/>
        </w:rPr>
        <w:t>（三）统筹产城人三者融合发展机制</w:t>
      </w:r>
      <w:bookmarkEnd w:id="119"/>
      <w:bookmarkEnd w:id="120"/>
      <w:bookmarkEnd w:id="121"/>
    </w:p>
    <w:p>
      <w:pPr>
        <w:snapToGrid w:val="0"/>
        <w:spacing w:line="440" w:lineRule="exact"/>
        <w:ind w:firstLine="600" w:firstLineChars="200"/>
        <w:jc w:val="left"/>
        <w:rPr>
          <w:rFonts w:eastAsia="仿宋"/>
          <w:sz w:val="30"/>
          <w:szCs w:val="30"/>
        </w:rPr>
      </w:pPr>
      <w:r>
        <w:rPr>
          <w:rFonts w:hint="eastAsia" w:eastAsia="仿宋"/>
          <w:sz w:val="30"/>
          <w:szCs w:val="30"/>
        </w:rPr>
        <w:t>推进户籍制度改革，中心城区有序放开落户限制，临桂新区、各县城和建制镇全面放开落户限制，构建政府主导、多方参与、成本共担、协调推进的农村人口市民化机制，建立合理的成本分担机制，健全相关激励机制。全面实施居住证制度，对高校毕业生、专业技术人员等采取更合理的落户办法。健全人口信息管理制度，完善相关配套措施。统筹公共交通协同发展，推进城市轨道交通系统和自行车等慢行交通系统建设，提高道路的通达性。推进以人为核心的新型城镇化，集中人力、财力、物力，加快推进新型城镇化示范乡镇建设，打造一批产城融合、文化传承、环境优美、宜业宜居的桂北特色小城镇。</w:t>
      </w:r>
    </w:p>
    <w:p>
      <w:pPr>
        <w:snapToGrid w:val="0"/>
        <w:spacing w:line="440" w:lineRule="exact"/>
        <w:jc w:val="left"/>
        <w:rPr>
          <w:rFonts w:eastAsia="仿宋" w:cs="Arial"/>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18</w:t>
      </w:r>
      <w:r>
        <w:rPr>
          <w:rFonts w:hint="eastAsia" w:eastAsia="仿宋"/>
          <w:b/>
          <w:sz w:val="30"/>
          <w:szCs w:val="30"/>
        </w:rPr>
        <w:t>：</w:t>
      </w:r>
      <w:r>
        <w:rPr>
          <w:rFonts w:hint="eastAsia"/>
          <w:b/>
          <w:sz w:val="30"/>
          <w:szCs w:val="30"/>
        </w:rPr>
        <w:t>新型城镇化发展体制机制重点改革项目</w:t>
      </w:r>
    </w:p>
    <w:tbl>
      <w:tblPr>
        <w:tblStyle w:val="16"/>
        <w:tblW w:w="9594" w:type="dxa"/>
        <w:tblInd w:w="95" w:type="dxa"/>
        <w:tblLayout w:type="fixed"/>
        <w:tblCellMar>
          <w:top w:w="0" w:type="dxa"/>
          <w:left w:w="108" w:type="dxa"/>
          <w:bottom w:w="0" w:type="dxa"/>
          <w:right w:w="108" w:type="dxa"/>
        </w:tblCellMar>
      </w:tblPr>
      <w:tblGrid>
        <w:gridCol w:w="1289"/>
        <w:gridCol w:w="2835"/>
        <w:gridCol w:w="3119"/>
        <w:gridCol w:w="2351"/>
      </w:tblGrid>
      <w:tr>
        <w:tblPrEx>
          <w:tblLayout w:type="fixed"/>
          <w:tblCellMar>
            <w:top w:w="0" w:type="dxa"/>
            <w:left w:w="108" w:type="dxa"/>
            <w:bottom w:w="0" w:type="dxa"/>
            <w:right w:w="108" w:type="dxa"/>
          </w:tblCellMar>
        </w:tblPrEx>
        <w:trPr>
          <w:trHeight w:val="451"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835"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351"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65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推进区划调整</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根据桂林市城镇化发展的需要，加快中小城市建设步伐，完善城镇功能，提升城镇化水平。</w:t>
            </w:r>
          </w:p>
        </w:tc>
        <w:tc>
          <w:tcPr>
            <w:tcW w:w="3119"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科学有序推进行政区划调整，根据国家设市标准，争取荔浦县撤县设市获批，加快全州县撤县设市工作，推动县城向城市转型，因地制宜推进城镇化建设。</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（一）完成全州县撤县改市文件及后续验收等文件和材料。</w:t>
            </w:r>
          </w:p>
          <w:p>
            <w:pPr>
              <w:widowControl/>
              <w:jc w:val="left"/>
              <w:rPr>
                <w:rFonts w:cs="宋体"/>
                <w:b/>
                <w:kern w:val="0"/>
                <w:sz w:val="24"/>
              </w:rPr>
            </w:pPr>
            <w:r>
              <w:rPr>
                <w:rFonts w:hint="eastAsia" w:cs="宋体"/>
                <w:kern w:val="0"/>
                <w:sz w:val="22"/>
                <w:szCs w:val="22"/>
              </w:rPr>
              <w:t>（二）制定、完善行政区划调整相关文件。</w:t>
            </w:r>
          </w:p>
        </w:tc>
      </w:tr>
      <w:tr>
        <w:tblPrEx>
          <w:tblLayout w:type="fixed"/>
          <w:tblCellMar>
            <w:top w:w="0" w:type="dxa"/>
            <w:left w:w="108" w:type="dxa"/>
            <w:bottom w:w="0" w:type="dxa"/>
            <w:right w:w="108" w:type="dxa"/>
          </w:tblCellMar>
        </w:tblPrEx>
        <w:trPr>
          <w:trHeight w:val="165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建设特色小城镇</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推进以人为核心的新型城镇化，建设有特色的桂北城镇体系。</w:t>
            </w:r>
          </w:p>
        </w:tc>
        <w:tc>
          <w:tcPr>
            <w:tcW w:w="3119"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建设重点特色城镇，建成</w:t>
            </w:r>
            <w:r>
              <w:rPr>
                <w:rFonts w:cs="宋体"/>
                <w:kern w:val="0"/>
                <w:sz w:val="22"/>
                <w:szCs w:val="22"/>
              </w:rPr>
              <w:t>20</w:t>
            </w:r>
            <w:r>
              <w:rPr>
                <w:rFonts w:hint="eastAsia" w:cs="宋体"/>
                <w:kern w:val="0"/>
                <w:sz w:val="22"/>
                <w:szCs w:val="22"/>
              </w:rPr>
              <w:t>个以上生态环境优美、历史文化厚重、民族风情浓郁、形态丰富多样、产业经济特色鲜明的特色城镇。</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制定推动特色城镇发展整体规划和实施方案。</w:t>
            </w:r>
          </w:p>
        </w:tc>
      </w:tr>
      <w:tr>
        <w:tblPrEx>
          <w:tblLayout w:type="fixed"/>
          <w:tblCellMar>
            <w:top w:w="0" w:type="dxa"/>
            <w:left w:w="108" w:type="dxa"/>
            <w:bottom w:w="0" w:type="dxa"/>
            <w:right w:w="108" w:type="dxa"/>
          </w:tblCellMar>
        </w:tblPrEx>
        <w:trPr>
          <w:trHeight w:val="165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全州新型城镇化试点</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推进以“产城融合发展、中小城市培育”以及“完善各项制度设计、创新投融资方式、推进城镇低效用地再利用”为重点的新型城镇化试点。</w:t>
            </w:r>
          </w:p>
        </w:tc>
        <w:tc>
          <w:tcPr>
            <w:tcW w:w="3119"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一是优化城镇产业布局，促进产城融合发展；二是夯实城镇发展基础，加快中小城市培育；三是完善各项制度设计；四是创新投融资方式；五是充分发挥社会资本的活力和创造力；六是推进城镇低效用地再利用。</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制定并实施新型城镇的一系列措施。</w:t>
            </w:r>
          </w:p>
        </w:tc>
      </w:tr>
      <w:tr>
        <w:tblPrEx>
          <w:tblLayout w:type="fixed"/>
          <w:tblCellMar>
            <w:top w:w="0" w:type="dxa"/>
            <w:left w:w="108" w:type="dxa"/>
            <w:bottom w:w="0" w:type="dxa"/>
            <w:right w:w="108" w:type="dxa"/>
          </w:tblCellMar>
        </w:tblPrEx>
        <w:trPr>
          <w:trHeight w:val="165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进行“四所合一”改革</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改革乡镇机构，</w:t>
            </w:r>
            <w:r>
              <w:rPr>
                <w:rFonts w:cs="宋体"/>
                <w:kern w:val="0"/>
                <w:sz w:val="22"/>
                <w:szCs w:val="22"/>
              </w:rPr>
              <w:t xml:space="preserve"> </w:t>
            </w:r>
            <w:r>
              <w:rPr>
                <w:rFonts w:hint="eastAsia" w:cs="宋体"/>
                <w:kern w:val="0"/>
                <w:sz w:val="22"/>
                <w:szCs w:val="22"/>
              </w:rPr>
              <w:t>提升乡镇管理和服务水平。</w:t>
            </w:r>
          </w:p>
        </w:tc>
        <w:tc>
          <w:tcPr>
            <w:tcW w:w="3119"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整合乡镇国土资源、规划建设和环境卫生、环境保护、安全生产监管机构，实现“四所合一”，</w:t>
            </w:r>
            <w:r>
              <w:rPr>
                <w:rFonts w:cs="宋体"/>
                <w:kern w:val="0"/>
                <w:sz w:val="22"/>
                <w:szCs w:val="22"/>
              </w:rPr>
              <w:t xml:space="preserve"> </w:t>
            </w:r>
            <w:r>
              <w:rPr>
                <w:rFonts w:hint="eastAsia" w:cs="宋体"/>
                <w:kern w:val="0"/>
                <w:sz w:val="22"/>
                <w:szCs w:val="22"/>
              </w:rPr>
              <w:t>提升乡镇管理和服务水平。</w:t>
            </w:r>
          </w:p>
        </w:tc>
        <w:tc>
          <w:tcPr>
            <w:tcW w:w="2351"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制定推进乡镇“四所合一”改革工作的实施方案。</w:t>
            </w:r>
          </w:p>
        </w:tc>
      </w:tr>
    </w:tbl>
    <w:p>
      <w:pPr>
        <w:snapToGrid w:val="0"/>
        <w:spacing w:line="440" w:lineRule="exact"/>
        <w:ind w:firstLine="600" w:firstLineChars="200"/>
        <w:jc w:val="left"/>
        <w:rPr>
          <w:rFonts w:eastAsia="仿宋"/>
          <w:sz w:val="30"/>
          <w:szCs w:val="30"/>
        </w:rPr>
      </w:pPr>
    </w:p>
    <w:p>
      <w:pPr>
        <w:pStyle w:val="3"/>
        <w:spacing w:line="440" w:lineRule="exact"/>
        <w:ind w:left="0" w:leftChars="0" w:firstLine="590" w:firstLineChars="196"/>
        <w:rPr>
          <w:rFonts w:ascii="Times New Roman" w:hAnsi="Times New Roman" w:eastAsia="黑体"/>
          <w:sz w:val="30"/>
          <w:szCs w:val="30"/>
        </w:rPr>
      </w:pPr>
      <w:bookmarkStart w:id="122" w:name="_Toc456447967"/>
      <w:bookmarkStart w:id="123" w:name="_Toc456552724"/>
      <w:bookmarkStart w:id="124" w:name="_Toc29520"/>
      <w:r>
        <w:rPr>
          <w:rFonts w:hint="eastAsia" w:ascii="Times New Roman" w:hAnsi="Times New Roman" w:eastAsia="黑体"/>
          <w:sz w:val="30"/>
          <w:szCs w:val="30"/>
        </w:rPr>
        <w:t>七、</w:t>
      </w:r>
      <w:bookmarkStart w:id="125" w:name="_Toc439678011"/>
      <w:r>
        <w:rPr>
          <w:rFonts w:hint="eastAsia" w:ascii="Times New Roman" w:hAnsi="Times New Roman" w:eastAsia="黑体"/>
          <w:sz w:val="30"/>
          <w:szCs w:val="30"/>
        </w:rPr>
        <w:t>深化公共产品供给制度改革，为经济发展提供支撑</w:t>
      </w:r>
      <w:bookmarkEnd w:id="122"/>
      <w:bookmarkEnd w:id="123"/>
      <w:bookmarkEnd w:id="124"/>
      <w:bookmarkEnd w:id="125"/>
    </w:p>
    <w:p>
      <w:pPr>
        <w:pStyle w:val="27"/>
        <w:spacing w:before="0" w:after="0" w:line="440" w:lineRule="exact"/>
        <w:ind w:firstLine="590" w:firstLineChars="196"/>
        <w:rPr>
          <w:sz w:val="30"/>
          <w:szCs w:val="30"/>
        </w:rPr>
      </w:pPr>
      <w:bookmarkStart w:id="126" w:name="_Toc456552725"/>
      <w:bookmarkStart w:id="127" w:name="_Toc2750"/>
      <w:bookmarkStart w:id="128" w:name="_Toc456447968"/>
      <w:r>
        <w:rPr>
          <w:rFonts w:hint="eastAsia"/>
          <w:sz w:val="30"/>
          <w:szCs w:val="30"/>
        </w:rPr>
        <w:t>（一）深化文化产品供给体制改革</w:t>
      </w:r>
      <w:bookmarkEnd w:id="126"/>
      <w:bookmarkEnd w:id="127"/>
      <w:bookmarkEnd w:id="128"/>
    </w:p>
    <w:p>
      <w:pPr>
        <w:spacing w:line="440" w:lineRule="exact"/>
        <w:ind w:firstLine="600" w:firstLineChars="200"/>
        <w:rPr>
          <w:rFonts w:eastAsia="仿宋"/>
          <w:sz w:val="30"/>
          <w:szCs w:val="30"/>
        </w:rPr>
      </w:pPr>
      <w:r>
        <w:rPr>
          <w:rFonts w:hint="eastAsia" w:eastAsia="仿宋"/>
          <w:sz w:val="30"/>
          <w:szCs w:val="30"/>
        </w:rPr>
        <w:t>改革公共文化产品的生产机制。建立社会办文化的激励机制，加大政府向文化类社会组织购买服务力度。丰富优秀公共文化产品供给，实施文化精品工程，提高文化产品和服务供给能力，形成一批承载桂林文化的文化精品。培育特色文化活动品牌，引导节日民俗、传统体育、广场文化等群众性文化活动健康、规范、有序开展，推进红色文化、社区文化、乡土文化、校园文化、企业文化、家庭文化建设。以现有的桂林市文化产业投资有限责任公司为基础，整合注入现有文化和体育资产，组建桂林市文化产业投资有限公司，打造桂林文化产业、体育产业和现代服务业的投融资企业。</w:t>
      </w:r>
    </w:p>
    <w:p>
      <w:pPr>
        <w:spacing w:line="440" w:lineRule="exact"/>
        <w:ind w:firstLine="600" w:firstLineChars="200"/>
        <w:rPr>
          <w:rFonts w:eastAsia="仿宋"/>
          <w:sz w:val="30"/>
          <w:szCs w:val="30"/>
        </w:rPr>
      </w:pPr>
      <w:r>
        <w:rPr>
          <w:rFonts w:hint="eastAsia" w:eastAsia="仿宋"/>
          <w:sz w:val="30"/>
          <w:szCs w:val="30"/>
        </w:rPr>
        <w:t>完善文化产业发展政策，</w:t>
      </w:r>
      <w:bookmarkStart w:id="129" w:name="OLE_LINK1"/>
      <w:r>
        <w:rPr>
          <w:rFonts w:hint="eastAsia" w:eastAsia="仿宋"/>
          <w:sz w:val="30"/>
          <w:szCs w:val="30"/>
        </w:rPr>
        <w:t>推动文化产业结构优化升级</w:t>
      </w:r>
      <w:bookmarkEnd w:id="129"/>
      <w:r>
        <w:rPr>
          <w:rFonts w:hint="eastAsia" w:eastAsia="仿宋"/>
          <w:sz w:val="30"/>
          <w:szCs w:val="30"/>
        </w:rPr>
        <w:t>。推进“文化</w:t>
      </w:r>
      <w:r>
        <w:rPr>
          <w:rFonts w:eastAsia="仿宋"/>
          <w:sz w:val="30"/>
          <w:szCs w:val="30"/>
        </w:rPr>
        <w:t>+</w:t>
      </w:r>
      <w:r>
        <w:rPr>
          <w:rFonts w:hint="eastAsia" w:eastAsia="仿宋"/>
          <w:sz w:val="30"/>
          <w:szCs w:val="30"/>
        </w:rPr>
        <w:t>旅游”“文化</w:t>
      </w:r>
      <w:r>
        <w:rPr>
          <w:rFonts w:eastAsia="仿宋"/>
          <w:sz w:val="30"/>
          <w:szCs w:val="30"/>
        </w:rPr>
        <w:t>+</w:t>
      </w:r>
      <w:r>
        <w:rPr>
          <w:rFonts w:hint="eastAsia" w:eastAsia="仿宋"/>
          <w:sz w:val="30"/>
          <w:szCs w:val="30"/>
        </w:rPr>
        <w:t>科技”“文化</w:t>
      </w:r>
      <w:r>
        <w:rPr>
          <w:rFonts w:eastAsia="仿宋"/>
          <w:sz w:val="30"/>
          <w:szCs w:val="30"/>
        </w:rPr>
        <w:t>+</w:t>
      </w:r>
      <w:r>
        <w:rPr>
          <w:rFonts w:hint="eastAsia" w:eastAsia="仿宋"/>
          <w:sz w:val="30"/>
          <w:szCs w:val="30"/>
        </w:rPr>
        <w:t>养生”“文化</w:t>
      </w:r>
      <w:r>
        <w:rPr>
          <w:rFonts w:eastAsia="仿宋"/>
          <w:sz w:val="30"/>
          <w:szCs w:val="30"/>
        </w:rPr>
        <w:t>+</w:t>
      </w:r>
      <w:r>
        <w:rPr>
          <w:rFonts w:hint="eastAsia" w:eastAsia="仿宋"/>
          <w:sz w:val="30"/>
          <w:szCs w:val="30"/>
        </w:rPr>
        <w:t>金融”融合创新。加快传统媒体和新媒体的融合发展，发展数字文化、网络文化。组建发行集团，建立出版基地，建设印刷园区，打造区域性传媒中心。建设桂林文化艺术品交易中心，促进文化产品和生产要素的合理流动。加强文化市场管理。支持动漫企业做强做大，将动漫产业打造成为桂林文化产业的重要增长点。建立和完善旅游演艺产业发展机制，延长产业链，打造若干演艺品牌，培育一批演艺收入超亿元的企业，建成演艺之都。推进桂林创意文化产业园、中国</w:t>
      </w:r>
      <w:r>
        <w:rPr>
          <w:rFonts w:eastAsia="仿宋"/>
          <w:sz w:val="30"/>
          <w:szCs w:val="30"/>
        </w:rPr>
        <w:t>—</w:t>
      </w:r>
      <w:r>
        <w:rPr>
          <w:rFonts w:hint="eastAsia" w:eastAsia="仿宋"/>
          <w:sz w:val="30"/>
          <w:szCs w:val="30"/>
        </w:rPr>
        <w:t>东盟绿色创意印刷园桂林园区等产业基地建设。</w:t>
      </w:r>
    </w:p>
    <w:p>
      <w:pPr>
        <w:spacing w:line="440" w:lineRule="exact"/>
        <w:ind w:firstLine="600" w:firstLineChars="200"/>
        <w:rPr>
          <w:rFonts w:eastAsia="仿宋"/>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19</w:t>
      </w:r>
      <w:r>
        <w:rPr>
          <w:rFonts w:hint="eastAsia" w:eastAsia="仿宋"/>
          <w:b/>
          <w:sz w:val="30"/>
          <w:szCs w:val="30"/>
        </w:rPr>
        <w:t>：</w:t>
      </w:r>
      <w:r>
        <w:rPr>
          <w:rFonts w:hint="eastAsia"/>
          <w:b/>
          <w:sz w:val="30"/>
          <w:szCs w:val="30"/>
        </w:rPr>
        <w:t>文化产品供给体制重点改革项目</w:t>
      </w:r>
    </w:p>
    <w:tbl>
      <w:tblPr>
        <w:tblStyle w:val="16"/>
        <w:tblW w:w="9594" w:type="dxa"/>
        <w:tblInd w:w="95" w:type="dxa"/>
        <w:tblLayout w:type="fixed"/>
        <w:tblCellMar>
          <w:top w:w="0" w:type="dxa"/>
          <w:left w:w="108" w:type="dxa"/>
          <w:bottom w:w="0" w:type="dxa"/>
          <w:right w:w="108" w:type="dxa"/>
        </w:tblCellMar>
      </w:tblPr>
      <w:tblGrid>
        <w:gridCol w:w="1289"/>
        <w:gridCol w:w="2835"/>
        <w:gridCol w:w="3544"/>
        <w:gridCol w:w="1926"/>
      </w:tblGrid>
      <w:tr>
        <w:tblPrEx>
          <w:tblLayout w:type="fixed"/>
          <w:tblCellMar>
            <w:top w:w="0" w:type="dxa"/>
            <w:left w:w="108" w:type="dxa"/>
            <w:bottom w:w="0" w:type="dxa"/>
            <w:right w:w="108" w:type="dxa"/>
          </w:tblCellMar>
        </w:tblPrEx>
        <w:trPr>
          <w:trHeight w:val="451"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835"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1926"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65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改革公共文化产品生产机制</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改革公共文化产品的生产机制，建立社会办文化的激励机制，完善公共文化服务基础设施建设。</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加大政府向文化类社会组织购买服务力度，培育特色文化品牌活动，引导节日民俗等群众性文化活动健康、规范、有序开展，推进红色文化等文化建设。丰富优秀公共文化产品供给，实施文化精品工程，提高文化产品和服务供给能力。</w:t>
            </w:r>
          </w:p>
        </w:tc>
        <w:tc>
          <w:tcPr>
            <w:tcW w:w="1926"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制定政府向社会购买公共文化服务管理实施细则。</w:t>
            </w:r>
          </w:p>
        </w:tc>
      </w:tr>
      <w:tr>
        <w:tblPrEx>
          <w:tblLayout w:type="fixed"/>
          <w:tblCellMar>
            <w:top w:w="0" w:type="dxa"/>
            <w:left w:w="108" w:type="dxa"/>
            <w:bottom w:w="0" w:type="dxa"/>
            <w:right w:w="108" w:type="dxa"/>
          </w:tblCellMar>
        </w:tblPrEx>
        <w:trPr>
          <w:trHeight w:val="165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构建现代文化市场体系</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完善文化产业发展政策，推动文化产业结构优化升级，推进“文化</w:t>
            </w:r>
            <w:r>
              <w:rPr>
                <w:rFonts w:cs="宋体"/>
                <w:kern w:val="0"/>
                <w:sz w:val="22"/>
                <w:szCs w:val="22"/>
              </w:rPr>
              <w:t>+</w:t>
            </w:r>
            <w:r>
              <w:rPr>
                <w:rFonts w:hint="eastAsia" w:cs="宋体"/>
                <w:kern w:val="0"/>
                <w:sz w:val="22"/>
                <w:szCs w:val="22"/>
              </w:rPr>
              <w:t>旅游”“文化</w:t>
            </w:r>
            <w:r>
              <w:rPr>
                <w:rFonts w:cs="宋体"/>
                <w:kern w:val="0"/>
                <w:sz w:val="22"/>
                <w:szCs w:val="22"/>
              </w:rPr>
              <w:t>+</w:t>
            </w:r>
            <w:r>
              <w:rPr>
                <w:rFonts w:hint="eastAsia" w:cs="宋体"/>
                <w:kern w:val="0"/>
                <w:sz w:val="22"/>
                <w:szCs w:val="22"/>
              </w:rPr>
              <w:t>科技”“文化</w:t>
            </w:r>
            <w:r>
              <w:rPr>
                <w:rFonts w:cs="宋体"/>
                <w:kern w:val="0"/>
                <w:sz w:val="22"/>
                <w:szCs w:val="22"/>
              </w:rPr>
              <w:t>+</w:t>
            </w:r>
            <w:r>
              <w:rPr>
                <w:rFonts w:hint="eastAsia" w:cs="宋体"/>
                <w:kern w:val="0"/>
                <w:sz w:val="22"/>
                <w:szCs w:val="22"/>
              </w:rPr>
              <w:t>养生”“文化</w:t>
            </w:r>
            <w:r>
              <w:rPr>
                <w:rFonts w:cs="宋体"/>
                <w:kern w:val="0"/>
                <w:sz w:val="22"/>
                <w:szCs w:val="22"/>
              </w:rPr>
              <w:t>+</w:t>
            </w:r>
            <w:r>
              <w:rPr>
                <w:rFonts w:hint="eastAsia" w:cs="宋体"/>
                <w:kern w:val="0"/>
                <w:sz w:val="22"/>
                <w:szCs w:val="22"/>
              </w:rPr>
              <w:t>金融”融合创新。</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加快传统媒体和新媒体的融合发展，组建发行集团，建立出版基地，建设印刷园区，打造区域性传媒中心。建设桂林文化艺术品交易中心，促进文化产品和生产要素的合理流动。加强文化市场管理，支持动漫企业做强做大。建立和完善旅游演艺产业发展机制，建成演艺之都。</w:t>
            </w:r>
          </w:p>
        </w:tc>
        <w:tc>
          <w:tcPr>
            <w:tcW w:w="1926"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支持党报党刊、电台电视台拓展网络移动终端等传播领域，发展新兴媒体，支持拓展互联网对外宣传阵地</w:t>
            </w:r>
          </w:p>
        </w:tc>
      </w:tr>
    </w:tbl>
    <w:p>
      <w:pPr>
        <w:spacing w:line="440" w:lineRule="exact"/>
        <w:ind w:firstLine="600" w:firstLineChars="200"/>
        <w:rPr>
          <w:rFonts w:eastAsia="仿宋"/>
          <w:sz w:val="30"/>
          <w:szCs w:val="30"/>
        </w:rPr>
      </w:pPr>
    </w:p>
    <w:p>
      <w:pPr>
        <w:pStyle w:val="27"/>
        <w:spacing w:before="0" w:after="0" w:line="440" w:lineRule="exact"/>
        <w:ind w:firstLine="590" w:firstLineChars="196"/>
        <w:rPr>
          <w:sz w:val="30"/>
          <w:szCs w:val="30"/>
        </w:rPr>
      </w:pPr>
      <w:bookmarkStart w:id="130" w:name="_Toc2793"/>
      <w:bookmarkStart w:id="131" w:name="_Toc456552726"/>
      <w:bookmarkStart w:id="132" w:name="_Toc456447969"/>
      <w:r>
        <w:rPr>
          <w:rFonts w:hint="eastAsia"/>
          <w:sz w:val="30"/>
          <w:szCs w:val="30"/>
        </w:rPr>
        <w:t>（二）深化就业和社会保障改革</w:t>
      </w:r>
      <w:bookmarkEnd w:id="130"/>
      <w:bookmarkEnd w:id="131"/>
      <w:bookmarkEnd w:id="132"/>
    </w:p>
    <w:p>
      <w:pPr>
        <w:spacing w:line="440" w:lineRule="exact"/>
        <w:ind w:firstLine="600" w:firstLineChars="200"/>
        <w:rPr>
          <w:rFonts w:eastAsia="仿宋"/>
          <w:sz w:val="30"/>
          <w:szCs w:val="30"/>
        </w:rPr>
      </w:pPr>
      <w:r>
        <w:rPr>
          <w:rFonts w:hint="eastAsia" w:eastAsia="仿宋" w:cs="宋体"/>
          <w:sz w:val="30"/>
          <w:szCs w:val="30"/>
        </w:rPr>
        <w:t>健全市、县</w:t>
      </w:r>
      <w:r>
        <w:rPr>
          <w:rFonts w:eastAsia="仿宋" w:cs="宋体"/>
          <w:sz w:val="30"/>
          <w:szCs w:val="30"/>
        </w:rPr>
        <w:t>(</w:t>
      </w:r>
      <w:r>
        <w:rPr>
          <w:rFonts w:hint="eastAsia" w:eastAsia="仿宋" w:cs="宋体"/>
          <w:sz w:val="30"/>
          <w:szCs w:val="30"/>
        </w:rPr>
        <w:t>区</w:t>
      </w:r>
      <w:r>
        <w:rPr>
          <w:rFonts w:eastAsia="仿宋" w:cs="宋体"/>
          <w:sz w:val="30"/>
          <w:szCs w:val="30"/>
        </w:rPr>
        <w:t>)</w:t>
      </w:r>
      <w:r>
        <w:rPr>
          <w:rFonts w:hint="eastAsia" w:eastAsia="仿宋" w:cs="宋体"/>
          <w:sz w:val="30"/>
          <w:szCs w:val="30"/>
        </w:rPr>
        <w:t>、乡镇（街道）三级公共就业服务体系和政策体系。健全政府购买就业岗位、投资和重大项目建设带动就业机制。</w:t>
      </w:r>
      <w:r>
        <w:rPr>
          <w:rFonts w:hint="eastAsia" w:eastAsia="仿宋"/>
          <w:sz w:val="30"/>
          <w:szCs w:val="30"/>
        </w:rPr>
        <w:t>完善就业创业扶持政策，建立完善覆盖城乡的就业创业服务体系。优化创业环境，实施“引凤还巢”工程，大力支持创业孵化基地、众创空间和大学生、农民工创业基地建设。大力支持服务业、劳动密集型企业、小型微型企业、创新型科技企业加快发展</w:t>
      </w:r>
      <w:r>
        <w:rPr>
          <w:rFonts w:eastAsia="仿宋"/>
          <w:sz w:val="30"/>
          <w:szCs w:val="30"/>
        </w:rPr>
        <w:t>,</w:t>
      </w:r>
      <w:r>
        <w:rPr>
          <w:rFonts w:hint="eastAsia" w:eastAsia="仿宋"/>
          <w:sz w:val="30"/>
          <w:szCs w:val="30"/>
        </w:rPr>
        <w:t>创造更多就业岗位。完善税费减免和公益性岗位、岗位培训、社会保险、技能鉴定补贴等政策</w:t>
      </w:r>
      <w:r>
        <w:rPr>
          <w:rFonts w:eastAsia="仿宋"/>
          <w:sz w:val="30"/>
          <w:szCs w:val="30"/>
        </w:rPr>
        <w:t>,</w:t>
      </w:r>
      <w:r>
        <w:rPr>
          <w:rFonts w:hint="eastAsia" w:eastAsia="仿宋"/>
          <w:sz w:val="30"/>
          <w:szCs w:val="30"/>
        </w:rPr>
        <w:t>促进以高校毕业生为重点的青年、农村转移劳动力、城镇困难人员、退役军人就业。完善和落实小额担保贷款和“贷免扶补”等扶持创业的优惠政策</w:t>
      </w:r>
      <w:r>
        <w:rPr>
          <w:rFonts w:eastAsia="仿宋"/>
          <w:sz w:val="30"/>
          <w:szCs w:val="30"/>
        </w:rPr>
        <w:t>,</w:t>
      </w:r>
      <w:r>
        <w:rPr>
          <w:rFonts w:hint="eastAsia" w:eastAsia="仿宋"/>
          <w:sz w:val="30"/>
          <w:szCs w:val="30"/>
        </w:rPr>
        <w:t>建立健全创业服务平台</w:t>
      </w:r>
      <w:r>
        <w:rPr>
          <w:rFonts w:eastAsia="仿宋"/>
          <w:sz w:val="30"/>
          <w:szCs w:val="30"/>
        </w:rPr>
        <w:t>,</w:t>
      </w:r>
      <w:r>
        <w:rPr>
          <w:rFonts w:hint="eastAsia" w:eastAsia="仿宋"/>
          <w:sz w:val="30"/>
          <w:szCs w:val="30"/>
        </w:rPr>
        <w:t>加大创业扶持</w:t>
      </w:r>
      <w:r>
        <w:rPr>
          <w:rFonts w:eastAsia="仿宋"/>
          <w:sz w:val="30"/>
          <w:szCs w:val="30"/>
        </w:rPr>
        <w:t>,</w:t>
      </w:r>
      <w:r>
        <w:rPr>
          <w:rFonts w:hint="eastAsia" w:eastAsia="仿宋"/>
          <w:sz w:val="30"/>
          <w:szCs w:val="30"/>
        </w:rPr>
        <w:t>提升创业者技能素质。建立就业质量和收入分配监测平台。加大劳动者职业技能培训力度。开展公共职业技能实训基地建设试点。加快现代职业教育体系建设</w:t>
      </w:r>
      <w:r>
        <w:rPr>
          <w:rFonts w:eastAsia="仿宋"/>
          <w:sz w:val="30"/>
          <w:szCs w:val="30"/>
        </w:rPr>
        <w:t>,</w:t>
      </w:r>
      <w:r>
        <w:rPr>
          <w:rFonts w:hint="eastAsia" w:eastAsia="仿宋"/>
          <w:sz w:val="30"/>
          <w:szCs w:val="30"/>
        </w:rPr>
        <w:t>深化产教融合、校企合作。完善社会化职业技能培训、考核（鉴定）体系。建立健全向农民工提供技能培训补贴制度，加大对企业的职业培训补贴力度。统筹人力资源市场，健全就业实名制登记和就业援助政策。完善就业失业监测制度，健全失业保险制度。</w:t>
      </w:r>
    </w:p>
    <w:p>
      <w:pPr>
        <w:spacing w:line="440" w:lineRule="exact"/>
        <w:ind w:firstLine="600" w:firstLineChars="200"/>
        <w:rPr>
          <w:rFonts w:eastAsia="仿宋"/>
          <w:sz w:val="30"/>
          <w:szCs w:val="30"/>
        </w:rPr>
      </w:pPr>
      <w:r>
        <w:rPr>
          <w:rFonts w:hint="eastAsia" w:eastAsia="仿宋"/>
          <w:sz w:val="30"/>
          <w:szCs w:val="30"/>
        </w:rPr>
        <w:t>深化收入分配制度改革。保障新常态下居民稳定增收。深入实施城镇居民人均可支配收入倍增计划。每两年至三年调整一次最低工资标准，充分发挥最低工资标准在企业职工工资增长中的促进作用。逐步试行行业工资增长指导线制度。健全落实企业工资集体协商制度。以非公有制企业为重点</w:t>
      </w:r>
      <w:r>
        <w:rPr>
          <w:rFonts w:eastAsia="仿宋"/>
          <w:sz w:val="30"/>
          <w:szCs w:val="30"/>
        </w:rPr>
        <w:t>,</w:t>
      </w:r>
      <w:r>
        <w:rPr>
          <w:rFonts w:hint="eastAsia" w:eastAsia="仿宋"/>
          <w:sz w:val="30"/>
          <w:szCs w:val="30"/>
        </w:rPr>
        <w:t>积极稳妥推行工资集体协商和行业性、区域性工资集体协商。深入实施农村居民收入倍增计划。完善强农惠农政策，开展扶贫开发攻坚战，推进城乡一体化改革，多渠道增加农民工资性收入、转移性收入、财产性收入和家庭经营性收入。改革机关事业单位工资和津补贴制度。完善最低工资保障制度。提高农民职业技能和创收能力，增加农民收入。规范收入分配秩序，努力缩小城乡、区域、行业收入差距。</w:t>
      </w:r>
    </w:p>
    <w:p>
      <w:pPr>
        <w:autoSpaceDE w:val="0"/>
        <w:autoSpaceDN w:val="0"/>
        <w:adjustRightInd w:val="0"/>
        <w:spacing w:line="440" w:lineRule="exact"/>
        <w:ind w:firstLine="600" w:firstLineChars="200"/>
        <w:jc w:val="left"/>
        <w:rPr>
          <w:rFonts w:eastAsia="仿宋"/>
          <w:sz w:val="30"/>
          <w:szCs w:val="30"/>
        </w:rPr>
      </w:pPr>
      <w:r>
        <w:rPr>
          <w:rFonts w:hint="eastAsia" w:eastAsia="仿宋"/>
          <w:sz w:val="30"/>
          <w:szCs w:val="30"/>
        </w:rPr>
        <w:t>完善社会保障体系。实施全民参保计划，基本实现法定人群全覆盖。推进机关事业单位养老保险制度改革，完善统账结合的城镇职工基本养老保险制度，构建包括职业年金、企业年金和商业保险的多层次养老保险体系，持续扩大覆盖面。完善社会保险关系转移接续政策。提高农民工养老保险参保率。发展职业年金、企业年金、商业养老保险。健全社会保障财政投入机制。加强公共服务设施和信息化平台建设，推进社会保障卡“一卡通”。加快健全全民医保体系。落实基本公共卫生服务政策，提高基本公共卫生服务水平。</w:t>
      </w:r>
    </w:p>
    <w:p>
      <w:pPr>
        <w:autoSpaceDE w:val="0"/>
        <w:autoSpaceDN w:val="0"/>
        <w:adjustRightInd w:val="0"/>
        <w:spacing w:line="440" w:lineRule="exact"/>
        <w:ind w:firstLine="600" w:firstLineChars="200"/>
        <w:jc w:val="left"/>
        <w:rPr>
          <w:rFonts w:eastAsia="仿宋"/>
          <w:sz w:val="30"/>
          <w:szCs w:val="30"/>
        </w:rPr>
      </w:pPr>
      <w:r>
        <w:rPr>
          <w:rFonts w:hint="eastAsia" w:eastAsia="仿宋"/>
          <w:sz w:val="30"/>
          <w:szCs w:val="30"/>
        </w:rPr>
        <w:t>深化住房保障制度改革。建立市场配置和政府保障相结合的住房制度。建立购租并举的城镇住房制度。以满足新市民的住房需求为主要出发点，建立购房与租房并举、市场配置与政府保障相结合的住房制度，健全以市场为主满足多层次需求、以政府为主提供基本保障的住房供应体系。完善公租房廉租房并轨制度，加大棚改安置和住房保障货币化力度，做好保障房、安置房需求与商品房去库存之间的衔接，打通供需通道，引导被保障居民家庭选择购买或租住合适的商品房。完善城镇住房保障系。住房保障采取实物与租赁补贴相结合并逐步转向租赁补贴为主。加快推广租赁补贴制度，采取市场提供房源、政府发放补贴的方式，支持符合条件的农业转移人口通过住房租赁市场租房居住。鼓励和引导社会资本参与保障性安居工程建设。</w:t>
      </w:r>
    </w:p>
    <w:p>
      <w:pPr>
        <w:spacing w:line="440" w:lineRule="exact"/>
        <w:ind w:firstLine="600" w:firstLineChars="200"/>
        <w:rPr>
          <w:rFonts w:eastAsia="仿宋" w:cs="宋体"/>
          <w:sz w:val="30"/>
          <w:szCs w:val="30"/>
        </w:rPr>
      </w:pPr>
      <w:r>
        <w:rPr>
          <w:rFonts w:hint="eastAsia" w:eastAsia="仿宋" w:cs="宋体"/>
          <w:sz w:val="30"/>
          <w:szCs w:val="30"/>
        </w:rPr>
        <w:t>完善社会救助制度</w:t>
      </w:r>
      <w:r>
        <w:rPr>
          <w:rFonts w:hint="eastAsia" w:eastAsia="仿宋"/>
          <w:sz w:val="30"/>
          <w:szCs w:val="30"/>
        </w:rPr>
        <w:t>。统筹救助体系建设，完善城乡居民最低生活保障制度，逐步提高低保标准和补助水平，做好自然灾害、医疗、教育、住房、就业、临时等社会救助。。发展慈善事业。完善鼓励回馈社会、扶贫济困的税收政策。</w:t>
      </w:r>
      <w:r>
        <w:rPr>
          <w:rFonts w:hint="eastAsia" w:eastAsia="仿宋" w:cs="宋体"/>
          <w:sz w:val="30"/>
          <w:szCs w:val="30"/>
        </w:rPr>
        <w:t>全面贯彻落实各项优抚安置政策。</w:t>
      </w:r>
    </w:p>
    <w:p>
      <w:pPr>
        <w:spacing w:line="440" w:lineRule="exact"/>
        <w:ind w:firstLine="600" w:firstLineChars="200"/>
        <w:rPr>
          <w:rFonts w:eastAsia="仿宋" w:cs="宋体"/>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20</w:t>
      </w:r>
      <w:r>
        <w:rPr>
          <w:rFonts w:hint="eastAsia" w:eastAsia="仿宋"/>
          <w:b/>
          <w:sz w:val="30"/>
          <w:szCs w:val="30"/>
        </w:rPr>
        <w:t>：</w:t>
      </w:r>
      <w:r>
        <w:rPr>
          <w:rFonts w:hint="eastAsia"/>
          <w:b/>
          <w:sz w:val="30"/>
          <w:szCs w:val="30"/>
        </w:rPr>
        <w:t>就业和社会保障重点改革项目</w:t>
      </w:r>
    </w:p>
    <w:tbl>
      <w:tblPr>
        <w:tblStyle w:val="16"/>
        <w:tblW w:w="9594" w:type="dxa"/>
        <w:tblInd w:w="95" w:type="dxa"/>
        <w:tblLayout w:type="fixed"/>
        <w:tblCellMar>
          <w:top w:w="0" w:type="dxa"/>
          <w:left w:w="108" w:type="dxa"/>
          <w:bottom w:w="0" w:type="dxa"/>
          <w:right w:w="108" w:type="dxa"/>
        </w:tblCellMar>
      </w:tblPr>
      <w:tblGrid>
        <w:gridCol w:w="1289"/>
        <w:gridCol w:w="2835"/>
        <w:gridCol w:w="3544"/>
        <w:gridCol w:w="1926"/>
      </w:tblGrid>
      <w:tr>
        <w:tblPrEx>
          <w:tblLayout w:type="fixed"/>
          <w:tblCellMar>
            <w:top w:w="0" w:type="dxa"/>
            <w:left w:w="108" w:type="dxa"/>
            <w:bottom w:w="0" w:type="dxa"/>
            <w:right w:w="108" w:type="dxa"/>
          </w:tblCellMar>
        </w:tblPrEx>
        <w:trPr>
          <w:trHeight w:val="451"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835"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544"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1926"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65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完善社会保障体系</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加快机关事业单位养老保险制度改革。</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加快机关事业单位养老保险制度改革，建立公平统一规范的城乡居民养老保险制度，扎实完成全市机关事业单位工作人员登记、参保、缴费工作。</w:t>
            </w:r>
          </w:p>
        </w:tc>
        <w:tc>
          <w:tcPr>
            <w:tcW w:w="1926"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基本完成机关事业单位养老保险制度改革。</w:t>
            </w:r>
          </w:p>
        </w:tc>
      </w:tr>
      <w:tr>
        <w:tblPrEx>
          <w:tblLayout w:type="fixed"/>
          <w:tblCellMar>
            <w:top w:w="0" w:type="dxa"/>
            <w:left w:w="108" w:type="dxa"/>
            <w:bottom w:w="0" w:type="dxa"/>
            <w:right w:w="108" w:type="dxa"/>
          </w:tblCellMar>
        </w:tblPrEx>
        <w:trPr>
          <w:trHeight w:val="967"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创新扶贫机制</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建立和完善广泛动员社会参与扶贫开发的机制。</w:t>
            </w:r>
          </w:p>
        </w:tc>
        <w:tc>
          <w:tcPr>
            <w:tcW w:w="3544"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创新扶贫工作新机制，搭建社会扶贫平台，完善相关政策。</w:t>
            </w:r>
          </w:p>
        </w:tc>
        <w:tc>
          <w:tcPr>
            <w:tcW w:w="1926"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出台脱贫攻坚相关政策制度。</w:t>
            </w:r>
          </w:p>
        </w:tc>
      </w:tr>
    </w:tbl>
    <w:p>
      <w:pPr>
        <w:spacing w:line="440" w:lineRule="exact"/>
        <w:ind w:firstLine="600" w:firstLineChars="200"/>
        <w:rPr>
          <w:rFonts w:eastAsia="仿宋" w:cs="宋体"/>
          <w:sz w:val="30"/>
          <w:szCs w:val="30"/>
        </w:rPr>
      </w:pPr>
    </w:p>
    <w:p>
      <w:pPr>
        <w:pStyle w:val="27"/>
        <w:spacing w:before="0" w:after="0" w:line="440" w:lineRule="exact"/>
        <w:ind w:firstLine="590" w:firstLineChars="196"/>
        <w:rPr>
          <w:sz w:val="30"/>
          <w:szCs w:val="30"/>
        </w:rPr>
      </w:pPr>
      <w:bookmarkStart w:id="133" w:name="_Toc14521"/>
      <w:bookmarkStart w:id="134" w:name="_Toc456552727"/>
      <w:bookmarkStart w:id="135" w:name="_Toc456447970"/>
      <w:r>
        <w:rPr>
          <w:rFonts w:hint="eastAsia"/>
          <w:sz w:val="30"/>
          <w:szCs w:val="30"/>
        </w:rPr>
        <w:t>（三）深化医药卫生改革</w:t>
      </w:r>
      <w:bookmarkEnd w:id="133"/>
      <w:bookmarkEnd w:id="134"/>
      <w:bookmarkEnd w:id="135"/>
    </w:p>
    <w:p>
      <w:pPr>
        <w:spacing w:line="440" w:lineRule="exact"/>
        <w:ind w:firstLine="600" w:firstLineChars="200"/>
        <w:rPr>
          <w:rFonts w:eastAsia="仿宋"/>
          <w:sz w:val="30"/>
          <w:szCs w:val="30"/>
        </w:rPr>
      </w:pPr>
      <w:r>
        <w:rPr>
          <w:rFonts w:hint="eastAsia" w:eastAsia="仿宋"/>
          <w:sz w:val="30"/>
          <w:szCs w:val="30"/>
        </w:rPr>
        <w:t>推进医疗服务价格改革。对公立医疗机构医疗服务项目实行分类管理。结合公立医院改革，加快理顺医疗服务比价关系，取消药品加成政策，降低大型医用设备检查治疗价格。强化医药费用和价格行为综合监管，促进药品市场价格保持合理水平。</w:t>
      </w:r>
    </w:p>
    <w:p>
      <w:pPr>
        <w:spacing w:line="440" w:lineRule="exact"/>
        <w:ind w:firstLine="600" w:firstLineChars="200"/>
        <w:rPr>
          <w:rFonts w:eastAsia="仿宋"/>
          <w:sz w:val="30"/>
          <w:szCs w:val="30"/>
        </w:rPr>
      </w:pPr>
      <w:r>
        <w:rPr>
          <w:rFonts w:hint="eastAsia" w:eastAsia="仿宋"/>
          <w:sz w:val="30"/>
          <w:szCs w:val="30"/>
        </w:rPr>
        <w:t>实行医疗、医保、医药联动，构建以医联体为核心的分级诊疗体系，建立覆盖城乡的基本医疗卫生制度和现代医院管理制度。鼓励社会办医，加强医疗卫生服务体系建设，完善医院服务网络。强化各县综合性医院内涵建设，推进县（区）、乡镇（社区）、村基层医疗卫生机构建设。促进医疗资源向基层、向农村流动，加强全科医生培养和乡村医生队伍建设。</w:t>
      </w:r>
    </w:p>
    <w:p>
      <w:pPr>
        <w:spacing w:line="440" w:lineRule="exact"/>
        <w:ind w:firstLine="600" w:firstLineChars="200"/>
        <w:rPr>
          <w:rFonts w:eastAsia="仿宋"/>
          <w:sz w:val="30"/>
          <w:szCs w:val="30"/>
        </w:rPr>
      </w:pPr>
      <w:r>
        <w:rPr>
          <w:rFonts w:hint="eastAsia" w:eastAsia="仿宋"/>
          <w:sz w:val="30"/>
          <w:szCs w:val="30"/>
        </w:rPr>
        <w:t>加强和完善新农合制度，推动医保支付方式改革，探索新农合统筹新模式，进一步健全重特大疾病保障制度，建立应急救助制度。巩固完善基本药物制度，深化基层医疗卫生机构综合改革。加快公立医院改革，全面推开县级公立医院综合改革，深入推进城市公立医院综合改革。</w:t>
      </w:r>
    </w:p>
    <w:p>
      <w:pPr>
        <w:spacing w:line="440" w:lineRule="exact"/>
        <w:ind w:firstLine="600" w:firstLineChars="200"/>
        <w:rPr>
          <w:rFonts w:eastAsia="仿宋"/>
          <w:sz w:val="30"/>
          <w:szCs w:val="30"/>
        </w:rPr>
      </w:pPr>
      <w:r>
        <w:rPr>
          <w:rFonts w:hint="eastAsia" w:eastAsia="仿宋"/>
          <w:sz w:val="30"/>
          <w:szCs w:val="30"/>
        </w:rPr>
        <w:t>坚持中西医并重，实施中医药复兴规划，打造中医药产业链。完善突发事件公共卫生应急体系。完善医患纠纷调解机制。推进医养结合，建设以居家为基础、社区为依托、机构为补充的多层次养老服务体系。</w:t>
      </w:r>
    </w:p>
    <w:p>
      <w:pPr>
        <w:spacing w:line="440" w:lineRule="exact"/>
        <w:ind w:firstLine="600" w:firstLineChars="200"/>
        <w:rPr>
          <w:rFonts w:eastAsia="仿宋"/>
          <w:sz w:val="30"/>
          <w:szCs w:val="30"/>
        </w:rPr>
      </w:pPr>
      <w:r>
        <w:rPr>
          <w:rFonts w:hint="eastAsia" w:eastAsia="仿宋"/>
          <w:sz w:val="30"/>
          <w:szCs w:val="30"/>
        </w:rPr>
        <w:t>完善食品药品安全治理体系，建立最严格的覆盖全过程的监管制度，建立食品原产地可追溯制度和质量标识</w:t>
      </w:r>
      <w:bookmarkStart w:id="157" w:name="_GoBack"/>
      <w:bookmarkEnd w:id="157"/>
      <w:r>
        <w:rPr>
          <w:rFonts w:hint="eastAsia" w:eastAsia="仿宋"/>
          <w:sz w:val="30"/>
          <w:szCs w:val="30"/>
        </w:rPr>
        <w:t>制度。</w:t>
      </w:r>
    </w:p>
    <w:p>
      <w:pPr>
        <w:spacing w:line="440" w:lineRule="exact"/>
        <w:ind w:firstLine="600" w:firstLineChars="200"/>
        <w:rPr>
          <w:rFonts w:eastAsia="仿宋"/>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21</w:t>
      </w:r>
      <w:r>
        <w:rPr>
          <w:rFonts w:hint="eastAsia" w:eastAsia="仿宋"/>
          <w:b/>
          <w:sz w:val="30"/>
          <w:szCs w:val="30"/>
        </w:rPr>
        <w:t>：</w:t>
      </w:r>
      <w:r>
        <w:rPr>
          <w:rFonts w:hint="eastAsia"/>
          <w:b/>
          <w:sz w:val="30"/>
          <w:szCs w:val="30"/>
        </w:rPr>
        <w:t>医药卫生重点改革项目</w:t>
      </w:r>
    </w:p>
    <w:tbl>
      <w:tblPr>
        <w:tblStyle w:val="16"/>
        <w:tblW w:w="9594" w:type="dxa"/>
        <w:tblInd w:w="95" w:type="dxa"/>
        <w:tblLayout w:type="fixed"/>
        <w:tblCellMar>
          <w:top w:w="0" w:type="dxa"/>
          <w:left w:w="108" w:type="dxa"/>
          <w:bottom w:w="0" w:type="dxa"/>
          <w:right w:w="108" w:type="dxa"/>
        </w:tblCellMar>
      </w:tblPr>
      <w:tblGrid>
        <w:gridCol w:w="1289"/>
        <w:gridCol w:w="2835"/>
        <w:gridCol w:w="3402"/>
        <w:gridCol w:w="2068"/>
      </w:tblGrid>
      <w:tr>
        <w:tblPrEx>
          <w:tblLayout w:type="fixed"/>
          <w:tblCellMar>
            <w:top w:w="0" w:type="dxa"/>
            <w:left w:w="108" w:type="dxa"/>
            <w:bottom w:w="0" w:type="dxa"/>
            <w:right w:w="108" w:type="dxa"/>
          </w:tblCellMar>
        </w:tblPrEx>
        <w:trPr>
          <w:trHeight w:val="451"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835"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40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068"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41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健全医疗生育保障体系</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建立更加完善的医疗生育保障体系、更加合理稳定的筹资机制、更加规范的费用支付制度。</w:t>
            </w:r>
          </w:p>
        </w:tc>
        <w:tc>
          <w:tcPr>
            <w:tcW w:w="3402"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实施城乡居民大病保险制度，完善失业、工伤、生育保险制度，整合城乡居民医保政策和经办管理，确保人人公平享有基本医疗保障。</w:t>
            </w:r>
          </w:p>
        </w:tc>
        <w:tc>
          <w:tcPr>
            <w:tcW w:w="2068"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推进医疗生育保险全覆盖。</w:t>
            </w:r>
          </w:p>
        </w:tc>
      </w:tr>
      <w:tr>
        <w:tblPrEx>
          <w:tblLayout w:type="fixed"/>
          <w:tblCellMar>
            <w:top w:w="0" w:type="dxa"/>
            <w:left w:w="108" w:type="dxa"/>
            <w:bottom w:w="0" w:type="dxa"/>
            <w:right w:w="108" w:type="dxa"/>
          </w:tblCellMar>
        </w:tblPrEx>
        <w:trPr>
          <w:trHeight w:val="1123"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加强和完善新农合制度</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加强和完善新农合制度，推动医保支付方式改革。</w:t>
            </w:r>
          </w:p>
        </w:tc>
        <w:tc>
          <w:tcPr>
            <w:tcW w:w="3402"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探索新农合统筹新模式，进一步健全重特大疾病保障制度，建立应急救助制度。</w:t>
            </w:r>
          </w:p>
        </w:tc>
        <w:tc>
          <w:tcPr>
            <w:tcW w:w="2068"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制定桂林市新型农村合作医疗支付方式改革指南。</w:t>
            </w:r>
          </w:p>
        </w:tc>
      </w:tr>
      <w:tr>
        <w:tblPrEx>
          <w:tblLayout w:type="fixed"/>
          <w:tblCellMar>
            <w:top w:w="0" w:type="dxa"/>
            <w:left w:w="108" w:type="dxa"/>
            <w:bottom w:w="0" w:type="dxa"/>
            <w:right w:w="108" w:type="dxa"/>
          </w:tblCellMar>
        </w:tblPrEx>
        <w:trPr>
          <w:trHeight w:val="165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构建分级诊疗、有序就医格局</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鼓励社会办医，加强医疗卫生服务体系建设，完善医院服务网络。</w:t>
            </w:r>
          </w:p>
        </w:tc>
        <w:tc>
          <w:tcPr>
            <w:tcW w:w="3402"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推进公立医院监管方式改革，优化城市医疗资源配置，促进多元办医格局的形成。构建完善分级诊疗体系。</w:t>
            </w:r>
          </w:p>
        </w:tc>
        <w:tc>
          <w:tcPr>
            <w:tcW w:w="2068"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建立完善公立医院绩效考核评价体系。健全多元化基本医疗供给机制。加快区域医疗联合体建设。</w:t>
            </w:r>
          </w:p>
        </w:tc>
      </w:tr>
    </w:tbl>
    <w:p>
      <w:pPr>
        <w:spacing w:line="440" w:lineRule="exact"/>
        <w:ind w:firstLine="600" w:firstLineChars="200"/>
        <w:rPr>
          <w:rFonts w:eastAsia="仿宋"/>
          <w:sz w:val="30"/>
          <w:szCs w:val="30"/>
        </w:rPr>
      </w:pPr>
    </w:p>
    <w:p>
      <w:pPr>
        <w:pStyle w:val="27"/>
        <w:spacing w:before="0" w:after="0" w:line="440" w:lineRule="exact"/>
        <w:ind w:firstLine="590" w:firstLineChars="196"/>
        <w:rPr>
          <w:sz w:val="30"/>
          <w:szCs w:val="30"/>
        </w:rPr>
      </w:pPr>
      <w:bookmarkStart w:id="136" w:name="_Toc456447971"/>
      <w:bookmarkStart w:id="137" w:name="_Toc456552728"/>
      <w:bookmarkStart w:id="138" w:name="_Toc24385"/>
      <w:r>
        <w:rPr>
          <w:rFonts w:hint="eastAsia"/>
          <w:sz w:val="30"/>
          <w:szCs w:val="30"/>
        </w:rPr>
        <w:t>（四）加快推进教育均衡协调发展</w:t>
      </w:r>
      <w:bookmarkEnd w:id="136"/>
      <w:bookmarkEnd w:id="137"/>
      <w:bookmarkEnd w:id="138"/>
    </w:p>
    <w:p>
      <w:pPr>
        <w:spacing w:line="440" w:lineRule="exact"/>
        <w:ind w:firstLine="600" w:firstLineChars="200"/>
        <w:rPr>
          <w:rFonts w:eastAsia="仿宋"/>
          <w:sz w:val="30"/>
          <w:szCs w:val="30"/>
        </w:rPr>
      </w:pPr>
      <w:r>
        <w:rPr>
          <w:rFonts w:hint="eastAsia" w:eastAsia="仿宋"/>
          <w:sz w:val="30"/>
          <w:szCs w:val="30"/>
        </w:rPr>
        <w:t>大力促进教育公平。深入推进教育发展</w:t>
      </w:r>
      <w:r>
        <w:rPr>
          <w:rFonts w:eastAsia="仿宋"/>
          <w:sz w:val="30"/>
          <w:szCs w:val="30"/>
        </w:rPr>
        <w:t>,</w:t>
      </w:r>
      <w:r>
        <w:rPr>
          <w:rFonts w:hint="eastAsia" w:eastAsia="仿宋"/>
          <w:sz w:val="30"/>
          <w:szCs w:val="30"/>
        </w:rPr>
        <w:t>合理配置教育资源</w:t>
      </w:r>
      <w:r>
        <w:rPr>
          <w:rFonts w:eastAsia="仿宋"/>
          <w:sz w:val="30"/>
          <w:szCs w:val="30"/>
        </w:rPr>
        <w:t>,</w:t>
      </w:r>
      <w:r>
        <w:rPr>
          <w:rFonts w:hint="eastAsia" w:eastAsia="仿宋"/>
          <w:sz w:val="30"/>
          <w:szCs w:val="30"/>
        </w:rPr>
        <w:t>继续加大投入</w:t>
      </w:r>
      <w:r>
        <w:rPr>
          <w:rFonts w:eastAsia="仿宋"/>
          <w:sz w:val="30"/>
          <w:szCs w:val="30"/>
        </w:rPr>
        <w:t>,</w:t>
      </w:r>
      <w:r>
        <w:rPr>
          <w:rFonts w:hint="eastAsia" w:eastAsia="仿宋"/>
          <w:sz w:val="30"/>
          <w:szCs w:val="30"/>
        </w:rPr>
        <w:t>重点支持农村、边远、贫困、民族地区和城镇教育质量薄弱学校。继续实施教育振兴行动计划，全面提高教育教学质量，促进各级各类教育健康有序发展。深化教育改革，科学规划学校布局，优化配置教育资源，促进教育公平。推进学前教育多元化办学体制改革，普及提升学前教育。均衡发展义务教育，加快推进城乡义务教育学校标准化建设，加强农村义务教育薄弱学校建设，解决“大班额”“超大班额”问题。深化普通高中办学体制改革，推进普通高中特色发展，支持示范性高中建设。推进职业教育综合改革，构建现代职业教育体系，深化产教融合、校企合作，建立培养与桂林人才需求相适应的职业教育机制。创新人才培养机制，着力建设高素质专业化教师队伍，推进特殊教育、继续教育改革发展，支持民办教育，发展“互联网</w:t>
      </w:r>
      <w:r>
        <w:rPr>
          <w:rFonts w:eastAsia="仿宋"/>
          <w:sz w:val="30"/>
          <w:szCs w:val="30"/>
        </w:rPr>
        <w:t>+</w:t>
      </w:r>
      <w:r>
        <w:rPr>
          <w:rFonts w:hint="eastAsia" w:eastAsia="仿宋"/>
          <w:sz w:val="30"/>
          <w:szCs w:val="30"/>
        </w:rPr>
        <w:t>”教育模式。</w:t>
      </w:r>
    </w:p>
    <w:p>
      <w:pPr>
        <w:spacing w:line="440" w:lineRule="exact"/>
        <w:ind w:firstLine="600" w:firstLineChars="200"/>
        <w:rPr>
          <w:rFonts w:eastAsia="仿宋"/>
          <w:sz w:val="30"/>
          <w:szCs w:val="30"/>
        </w:rPr>
      </w:pPr>
    </w:p>
    <w:p>
      <w:pPr>
        <w:spacing w:line="440" w:lineRule="exact"/>
        <w:ind w:firstLine="641"/>
        <w:jc w:val="center"/>
        <w:rPr>
          <w:rFonts w:eastAsia="仿宋"/>
          <w:b/>
          <w:sz w:val="30"/>
          <w:szCs w:val="30"/>
        </w:rPr>
      </w:pPr>
      <w:r>
        <w:rPr>
          <w:rFonts w:hint="eastAsia" w:eastAsia="仿宋"/>
          <w:b/>
          <w:sz w:val="30"/>
          <w:szCs w:val="30"/>
        </w:rPr>
        <w:t>专栏</w:t>
      </w:r>
      <w:r>
        <w:rPr>
          <w:rFonts w:eastAsia="仿宋"/>
          <w:b/>
          <w:sz w:val="30"/>
          <w:szCs w:val="30"/>
        </w:rPr>
        <w:t>22</w:t>
      </w:r>
      <w:r>
        <w:rPr>
          <w:rFonts w:hint="eastAsia" w:eastAsia="仿宋"/>
          <w:b/>
          <w:sz w:val="30"/>
          <w:szCs w:val="30"/>
        </w:rPr>
        <w:t>：</w:t>
      </w:r>
      <w:r>
        <w:rPr>
          <w:rFonts w:hint="eastAsia"/>
          <w:b/>
          <w:sz w:val="30"/>
          <w:szCs w:val="30"/>
        </w:rPr>
        <w:t>教育体制重点改革项目</w:t>
      </w:r>
    </w:p>
    <w:tbl>
      <w:tblPr>
        <w:tblStyle w:val="16"/>
        <w:tblW w:w="9594" w:type="dxa"/>
        <w:tblInd w:w="95" w:type="dxa"/>
        <w:tblLayout w:type="fixed"/>
        <w:tblCellMar>
          <w:top w:w="0" w:type="dxa"/>
          <w:left w:w="108" w:type="dxa"/>
          <w:bottom w:w="0" w:type="dxa"/>
          <w:right w:w="108" w:type="dxa"/>
        </w:tblCellMar>
      </w:tblPr>
      <w:tblGrid>
        <w:gridCol w:w="1289"/>
        <w:gridCol w:w="2835"/>
        <w:gridCol w:w="3402"/>
        <w:gridCol w:w="2068"/>
      </w:tblGrid>
      <w:tr>
        <w:tblPrEx>
          <w:tblLayout w:type="fixed"/>
          <w:tblCellMar>
            <w:top w:w="0" w:type="dxa"/>
            <w:left w:w="108" w:type="dxa"/>
            <w:bottom w:w="0" w:type="dxa"/>
            <w:right w:w="108" w:type="dxa"/>
          </w:tblCellMar>
        </w:tblPrEx>
        <w:trPr>
          <w:trHeight w:val="451"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w:t>
            </w:r>
          </w:p>
          <w:p>
            <w:pPr>
              <w:widowControl/>
              <w:jc w:val="center"/>
              <w:rPr>
                <w:rFonts w:cs="宋体"/>
                <w:b/>
                <w:kern w:val="0"/>
                <w:sz w:val="24"/>
              </w:rPr>
            </w:pPr>
            <w:r>
              <w:rPr>
                <w:rFonts w:hint="eastAsia" w:cs="宋体"/>
                <w:b/>
                <w:kern w:val="0"/>
                <w:sz w:val="24"/>
              </w:rPr>
              <w:t>项目</w:t>
            </w:r>
          </w:p>
        </w:tc>
        <w:tc>
          <w:tcPr>
            <w:tcW w:w="2835"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改革内容</w:t>
            </w:r>
          </w:p>
        </w:tc>
        <w:tc>
          <w:tcPr>
            <w:tcW w:w="3402"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改革路径</w:t>
            </w:r>
          </w:p>
        </w:tc>
        <w:tc>
          <w:tcPr>
            <w:tcW w:w="2068" w:type="dxa"/>
            <w:tcBorders>
              <w:top w:val="single" w:color="auto" w:sz="4" w:space="0"/>
              <w:left w:val="nil"/>
              <w:bottom w:val="single" w:color="auto" w:sz="4" w:space="0"/>
              <w:right w:val="single" w:color="auto" w:sz="4" w:space="0"/>
            </w:tcBorders>
            <w:vAlign w:val="center"/>
          </w:tcPr>
          <w:p>
            <w:pPr>
              <w:widowControl/>
              <w:jc w:val="center"/>
              <w:rPr>
                <w:rFonts w:cs="宋体"/>
                <w:b/>
                <w:kern w:val="0"/>
                <w:sz w:val="24"/>
              </w:rPr>
            </w:pPr>
            <w:r>
              <w:rPr>
                <w:rFonts w:hint="eastAsia" w:cs="宋体"/>
                <w:b/>
                <w:kern w:val="0"/>
                <w:sz w:val="24"/>
              </w:rPr>
              <w:t>主要成果</w:t>
            </w:r>
          </w:p>
        </w:tc>
      </w:tr>
      <w:tr>
        <w:tblPrEx>
          <w:tblLayout w:type="fixed"/>
          <w:tblCellMar>
            <w:top w:w="0" w:type="dxa"/>
            <w:left w:w="108" w:type="dxa"/>
            <w:bottom w:w="0" w:type="dxa"/>
            <w:right w:w="108" w:type="dxa"/>
          </w:tblCellMar>
        </w:tblPrEx>
        <w:trPr>
          <w:trHeight w:val="141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b/>
                <w:kern w:val="0"/>
                <w:sz w:val="24"/>
              </w:rPr>
            </w:pPr>
            <w:r>
              <w:rPr>
                <w:rFonts w:hint="eastAsia" w:cs="宋体"/>
                <w:kern w:val="0"/>
                <w:sz w:val="22"/>
                <w:szCs w:val="22"/>
              </w:rPr>
              <w:t>深化普通高中办学体制改革</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建立普及高中阶段教育工作机制，推进普通高中特色发展，支持示范性高中建设。</w:t>
            </w:r>
          </w:p>
        </w:tc>
        <w:tc>
          <w:tcPr>
            <w:tcW w:w="3402"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统筹推进我市普及高中阶段教育工作，确保</w:t>
            </w:r>
            <w:r>
              <w:rPr>
                <w:rFonts w:cs="宋体"/>
                <w:kern w:val="0"/>
                <w:sz w:val="22"/>
                <w:szCs w:val="22"/>
              </w:rPr>
              <w:t>2020</w:t>
            </w:r>
            <w:r>
              <w:rPr>
                <w:rFonts w:hint="eastAsia" w:cs="宋体"/>
                <w:kern w:val="0"/>
                <w:sz w:val="22"/>
                <w:szCs w:val="22"/>
              </w:rPr>
              <w:t>年我市实现普及高中阶段教育工作目标。</w:t>
            </w:r>
          </w:p>
        </w:tc>
        <w:tc>
          <w:tcPr>
            <w:tcW w:w="2068" w:type="dxa"/>
            <w:tcBorders>
              <w:top w:val="single" w:color="auto" w:sz="4" w:space="0"/>
              <w:left w:val="nil"/>
              <w:bottom w:val="single" w:color="auto" w:sz="4" w:space="0"/>
              <w:right w:val="single" w:color="auto" w:sz="4" w:space="0"/>
            </w:tcBorders>
            <w:vAlign w:val="center"/>
          </w:tcPr>
          <w:p>
            <w:pPr>
              <w:widowControl/>
              <w:jc w:val="left"/>
              <w:rPr>
                <w:rFonts w:cs="宋体"/>
                <w:b/>
                <w:kern w:val="0"/>
                <w:sz w:val="24"/>
              </w:rPr>
            </w:pPr>
            <w:r>
              <w:rPr>
                <w:rFonts w:hint="eastAsia" w:cs="宋体"/>
                <w:kern w:val="0"/>
                <w:sz w:val="22"/>
                <w:szCs w:val="22"/>
              </w:rPr>
              <w:t>制定桂林市普及高中阶段教育实施方案。</w:t>
            </w:r>
          </w:p>
        </w:tc>
      </w:tr>
      <w:tr>
        <w:tblPrEx>
          <w:tblLayout w:type="fixed"/>
          <w:tblCellMar>
            <w:top w:w="0" w:type="dxa"/>
            <w:left w:w="108" w:type="dxa"/>
            <w:bottom w:w="0" w:type="dxa"/>
            <w:right w:w="108" w:type="dxa"/>
          </w:tblCellMar>
        </w:tblPrEx>
        <w:trPr>
          <w:trHeight w:val="1414" w:hRule="atLeast"/>
        </w:trPr>
        <w:tc>
          <w:tcPr>
            <w:tcW w:w="1289"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kern w:val="0"/>
                <w:sz w:val="22"/>
                <w:szCs w:val="22"/>
              </w:rPr>
            </w:pPr>
            <w:r>
              <w:rPr>
                <w:rFonts w:hint="eastAsia" w:cs="宋体"/>
                <w:kern w:val="0"/>
                <w:sz w:val="22"/>
                <w:szCs w:val="22"/>
              </w:rPr>
              <w:t>深化教育人事制度改革</w:t>
            </w:r>
          </w:p>
        </w:tc>
        <w:tc>
          <w:tcPr>
            <w:tcW w:w="2835"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创新人才培养机制，着力建设高素质专业化教师队伍。</w:t>
            </w:r>
          </w:p>
        </w:tc>
        <w:tc>
          <w:tcPr>
            <w:tcW w:w="3402"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深化教育人事制度改革，创新人才培养机制，着力建设高素质专业化教师队伍，加强乡村教师队伍建设，加强师德师风建设，实施教师轮岗走教计划。创新办学体制，推进学区内校长、教师交流和优质教育教学资源共享。</w:t>
            </w:r>
          </w:p>
        </w:tc>
        <w:tc>
          <w:tcPr>
            <w:tcW w:w="2068" w:type="dxa"/>
            <w:tcBorders>
              <w:top w:val="single" w:color="auto" w:sz="4" w:space="0"/>
              <w:left w:val="nil"/>
              <w:bottom w:val="single" w:color="auto" w:sz="4" w:space="0"/>
              <w:right w:val="single" w:color="auto" w:sz="4" w:space="0"/>
            </w:tcBorders>
            <w:vAlign w:val="center"/>
          </w:tcPr>
          <w:p>
            <w:pPr>
              <w:widowControl/>
              <w:jc w:val="left"/>
              <w:rPr>
                <w:rFonts w:cs="宋体"/>
                <w:kern w:val="0"/>
                <w:sz w:val="22"/>
                <w:szCs w:val="22"/>
              </w:rPr>
            </w:pPr>
            <w:r>
              <w:rPr>
                <w:rFonts w:hint="eastAsia" w:cs="宋体"/>
                <w:kern w:val="0"/>
                <w:sz w:val="22"/>
                <w:szCs w:val="22"/>
              </w:rPr>
              <w:t>出台教师编制管理、岗位设置、绩效工资改革以及校长教师交流的政策。</w:t>
            </w:r>
          </w:p>
        </w:tc>
      </w:tr>
    </w:tbl>
    <w:p>
      <w:pPr>
        <w:spacing w:line="440" w:lineRule="exact"/>
        <w:ind w:firstLine="600" w:firstLineChars="200"/>
        <w:rPr>
          <w:rFonts w:eastAsia="仿宋"/>
          <w:sz w:val="30"/>
          <w:szCs w:val="30"/>
        </w:rPr>
      </w:pPr>
    </w:p>
    <w:p>
      <w:pPr>
        <w:spacing w:line="440" w:lineRule="exact"/>
        <w:ind w:firstLine="600" w:firstLineChars="200"/>
        <w:rPr>
          <w:rFonts w:eastAsia="仿宋"/>
          <w:sz w:val="30"/>
          <w:szCs w:val="30"/>
        </w:rPr>
      </w:pPr>
    </w:p>
    <w:p>
      <w:pPr>
        <w:pStyle w:val="2"/>
        <w:spacing w:before="0" w:line="440" w:lineRule="exact"/>
        <w:jc w:val="center"/>
        <w:rPr>
          <w:rFonts w:eastAsia="黑体"/>
          <w:sz w:val="30"/>
          <w:szCs w:val="30"/>
        </w:rPr>
      </w:pPr>
      <w:bookmarkStart w:id="139" w:name="_Toc456552729"/>
      <w:bookmarkStart w:id="140" w:name="_Toc456447972"/>
      <w:bookmarkStart w:id="141" w:name="_Toc27372"/>
      <w:r>
        <w:rPr>
          <w:rFonts w:hint="eastAsia" w:eastAsia="黑体"/>
          <w:sz w:val="30"/>
          <w:szCs w:val="30"/>
        </w:rPr>
        <w:t>第四章、保障措施</w:t>
      </w:r>
      <w:bookmarkEnd w:id="139"/>
      <w:bookmarkEnd w:id="140"/>
      <w:bookmarkEnd w:id="141"/>
    </w:p>
    <w:p>
      <w:pPr>
        <w:pStyle w:val="3"/>
        <w:spacing w:line="440" w:lineRule="exact"/>
        <w:ind w:left="0" w:leftChars="0"/>
        <w:rPr>
          <w:rFonts w:ascii="Times New Roman" w:hAnsi="Times New Roman" w:eastAsia="黑体"/>
          <w:sz w:val="30"/>
          <w:szCs w:val="30"/>
        </w:rPr>
      </w:pPr>
      <w:bookmarkStart w:id="142" w:name="_Toc456447973"/>
      <w:bookmarkStart w:id="143" w:name="_Toc456552730"/>
      <w:bookmarkStart w:id="144" w:name="_Toc23703"/>
      <w:r>
        <w:rPr>
          <w:rFonts w:hint="eastAsia" w:ascii="Times New Roman" w:hAnsi="Times New Roman" w:eastAsia="黑体"/>
          <w:sz w:val="30"/>
          <w:szCs w:val="30"/>
        </w:rPr>
        <w:t>一、加强宣传力度，营造改革氛围</w:t>
      </w:r>
      <w:bookmarkEnd w:id="142"/>
      <w:bookmarkEnd w:id="143"/>
      <w:bookmarkEnd w:id="144"/>
    </w:p>
    <w:p>
      <w:pPr>
        <w:autoSpaceDE w:val="0"/>
        <w:autoSpaceDN w:val="0"/>
        <w:adjustRightInd w:val="0"/>
        <w:spacing w:line="440" w:lineRule="exact"/>
        <w:rPr>
          <w:rFonts w:eastAsia="仿宋"/>
          <w:sz w:val="30"/>
          <w:szCs w:val="30"/>
        </w:rPr>
      </w:pPr>
      <w:r>
        <w:rPr>
          <w:rFonts w:hint="eastAsia" w:eastAsia="仿宋" w:cs="仿宋_GB2312"/>
          <w:sz w:val="30"/>
          <w:szCs w:val="30"/>
          <w:lang w:val="zh-CN"/>
        </w:rPr>
        <w:t>改革进入攻坚区，涉及众多复杂利益纠葛，全市上下应形成广泛的改革共识，凝聚起最强大的改革合力，充分组织、发动和紧紧依靠人民群众。要加强宣传力度，形式多样的宣传发动工作是推进全面深化改革工作的重要环节和有力保障。调动一切宣传工具，包括新闻报社、广播电视台、交通电子显示屏、宣传标语和微信群等渠道对全面深化改革进行全方位、多角度的宣传，让全社会都了解改革的目的、意义、目标、方向、任务和进度，不断赢得广大人民群众的理解、信任和支持，创造能够顺利推进改革的良好舆论氛围，汇聚广大人民群众的智慧和力量。</w:t>
      </w:r>
    </w:p>
    <w:p>
      <w:pPr>
        <w:pStyle w:val="3"/>
        <w:spacing w:line="440" w:lineRule="exact"/>
        <w:ind w:left="0" w:leftChars="0" w:firstLine="590" w:firstLineChars="196"/>
        <w:rPr>
          <w:rFonts w:ascii="Times New Roman" w:hAnsi="Times New Roman" w:eastAsia="黑体"/>
          <w:sz w:val="30"/>
          <w:szCs w:val="30"/>
        </w:rPr>
      </w:pPr>
      <w:bookmarkStart w:id="145" w:name="_Toc456447974"/>
      <w:bookmarkStart w:id="146" w:name="_Toc21062"/>
      <w:bookmarkStart w:id="147" w:name="_Toc456552731"/>
      <w:r>
        <w:rPr>
          <w:rFonts w:hint="eastAsia" w:ascii="Times New Roman" w:hAnsi="Times New Roman" w:eastAsia="黑体"/>
          <w:sz w:val="30"/>
          <w:szCs w:val="30"/>
        </w:rPr>
        <w:t>二、强化组织建设，确保高效运行</w:t>
      </w:r>
      <w:bookmarkEnd w:id="145"/>
      <w:bookmarkEnd w:id="146"/>
      <w:bookmarkEnd w:id="147"/>
    </w:p>
    <w:p>
      <w:pPr>
        <w:autoSpaceDE w:val="0"/>
        <w:autoSpaceDN w:val="0"/>
        <w:adjustRightInd w:val="0"/>
        <w:spacing w:line="440" w:lineRule="exact"/>
        <w:rPr>
          <w:rFonts w:eastAsia="仿宋" w:cs="仿宋_GB2312"/>
          <w:sz w:val="30"/>
          <w:szCs w:val="30"/>
          <w:lang w:val="zh-CN"/>
        </w:rPr>
      </w:pPr>
      <w:r>
        <w:rPr>
          <w:rFonts w:hint="eastAsia" w:eastAsia="仿宋" w:cs="仿宋_GB2312"/>
          <w:sz w:val="30"/>
          <w:szCs w:val="30"/>
          <w:lang w:val="zh-CN"/>
        </w:rPr>
        <w:t>一是完善组织机制。市委已经成立全面深化改革领导小组，下设各专项改革小组，同时成立了市委全面深化改革领导小组办公室和专项小组办公室，各县区各单位部门设立了相应的改革工作机构。</w:t>
      </w:r>
    </w:p>
    <w:p>
      <w:pPr>
        <w:autoSpaceDE w:val="0"/>
        <w:autoSpaceDN w:val="0"/>
        <w:adjustRightInd w:val="0"/>
        <w:spacing w:line="440" w:lineRule="exact"/>
        <w:rPr>
          <w:rFonts w:eastAsia="仿宋_GB2312" w:cs="仿宋_GB2312"/>
          <w:sz w:val="30"/>
          <w:szCs w:val="30"/>
          <w:lang w:val="zh-CN"/>
        </w:rPr>
      </w:pPr>
      <w:r>
        <w:rPr>
          <w:rFonts w:hint="eastAsia" w:eastAsia="仿宋" w:cs="仿宋_GB2312"/>
          <w:sz w:val="30"/>
          <w:szCs w:val="30"/>
          <w:lang w:val="zh-CN"/>
        </w:rPr>
        <w:t>二是明确工作机制。应进一步强化领导小组主导，专项小组、牵头单位推进，改革办协调的分工明确、高效运转、规范有序的运行机制。市委全面深化改革领导小组负责对全市改革总体设计、统筹协调、整体推进、督促落实；各专项小组加强对本领域改革的调查研究、规划协调、方案制定和统筹推进；各相关单位具体负责改革方案的出台和落实。建立</w:t>
      </w:r>
      <w:r>
        <w:rPr>
          <w:rFonts w:hint="eastAsia" w:eastAsia="仿宋" w:cs="仿宋_GB2312"/>
          <w:sz w:val="30"/>
          <w:szCs w:val="30"/>
        </w:rPr>
        <w:t>完善</w:t>
      </w:r>
      <w:r>
        <w:rPr>
          <w:rFonts w:hint="eastAsia" w:eastAsia="仿宋" w:cs="仿宋_GB2312"/>
          <w:sz w:val="30"/>
          <w:szCs w:val="30"/>
          <w:lang w:val="zh-CN"/>
        </w:rPr>
        <w:t>市委全面深化改革领导小组会议制度、联络制度、信息沟通制度、决策程序等制度，为确保全市改革工作顺利推进提供制度保障。</w:t>
      </w:r>
    </w:p>
    <w:p>
      <w:pPr>
        <w:pStyle w:val="3"/>
        <w:spacing w:line="440" w:lineRule="exact"/>
        <w:ind w:left="0" w:leftChars="0" w:firstLine="590" w:firstLineChars="196"/>
        <w:rPr>
          <w:rFonts w:ascii="Times New Roman" w:hAnsi="Times New Roman" w:eastAsia="黑体"/>
          <w:sz w:val="30"/>
          <w:szCs w:val="30"/>
        </w:rPr>
      </w:pPr>
      <w:bookmarkStart w:id="148" w:name="_Toc456447975"/>
      <w:bookmarkStart w:id="149" w:name="_Toc14102"/>
      <w:bookmarkStart w:id="150" w:name="_Toc456552732"/>
      <w:r>
        <w:rPr>
          <w:rFonts w:hint="eastAsia" w:ascii="Times New Roman" w:hAnsi="Times New Roman" w:eastAsia="黑体"/>
          <w:sz w:val="30"/>
          <w:szCs w:val="30"/>
        </w:rPr>
        <w:t>三、完善改革各项制度，夯实制度保障</w:t>
      </w:r>
      <w:bookmarkEnd w:id="148"/>
      <w:bookmarkEnd w:id="149"/>
      <w:bookmarkEnd w:id="150"/>
    </w:p>
    <w:p>
      <w:pPr>
        <w:autoSpaceDE w:val="0"/>
        <w:autoSpaceDN w:val="0"/>
        <w:adjustRightInd w:val="0"/>
        <w:spacing w:line="440" w:lineRule="exact"/>
        <w:ind w:firstLine="600" w:firstLineChars="200"/>
        <w:rPr>
          <w:rFonts w:eastAsia="仿宋" w:cs="仿宋_GB2312"/>
          <w:sz w:val="30"/>
          <w:szCs w:val="30"/>
          <w:lang w:val="zh-CN"/>
        </w:rPr>
      </w:pPr>
      <w:r>
        <w:rPr>
          <w:rFonts w:hint="eastAsia" w:eastAsia="仿宋" w:cs="仿宋_GB2312"/>
          <w:sz w:val="30"/>
          <w:szCs w:val="30"/>
          <w:lang w:val="zh-CN"/>
        </w:rPr>
        <w:t>建立改革工作责任制，在各改革相关职能部门和岗位之间配置相关责任。建立改革督查制度，确保改革部署落实到位。建立改革评估制度，对改革方案、改革措施和改革成果进行科学客观的评价。建立改革方案的质量控制制度，确保改革方案高质量出台。建立改革风险控制制度，确保及时掌控改革风险并将风险控制在可控范围内。建立改革绩效考评制度，促进各项改革任务的圆满完成。</w:t>
      </w:r>
    </w:p>
    <w:p>
      <w:pPr>
        <w:pStyle w:val="3"/>
        <w:spacing w:line="440" w:lineRule="exact"/>
        <w:ind w:left="0" w:leftChars="0" w:firstLine="590" w:firstLineChars="196"/>
        <w:rPr>
          <w:rFonts w:ascii="Times New Roman" w:hAnsi="Times New Roman" w:eastAsia="黑体"/>
          <w:sz w:val="30"/>
          <w:szCs w:val="30"/>
        </w:rPr>
      </w:pPr>
      <w:bookmarkStart w:id="151" w:name="_Toc456552733"/>
      <w:bookmarkStart w:id="152" w:name="_Toc1342"/>
      <w:bookmarkStart w:id="153" w:name="_Toc456447976"/>
      <w:r>
        <w:rPr>
          <w:rFonts w:hint="eastAsia" w:ascii="Times New Roman" w:hAnsi="Times New Roman" w:eastAsia="黑体"/>
          <w:sz w:val="30"/>
          <w:szCs w:val="30"/>
        </w:rPr>
        <w:t>四、创新推进机制</w:t>
      </w:r>
      <w:bookmarkEnd w:id="151"/>
      <w:bookmarkEnd w:id="152"/>
      <w:bookmarkEnd w:id="153"/>
    </w:p>
    <w:p>
      <w:pPr>
        <w:spacing w:line="440" w:lineRule="exact"/>
        <w:ind w:firstLine="600" w:firstLineChars="200"/>
        <w:rPr>
          <w:rFonts w:eastAsia="仿宋" w:cs="仿宋_GB2312"/>
          <w:sz w:val="30"/>
          <w:szCs w:val="30"/>
          <w:lang w:val="zh-CN"/>
        </w:rPr>
      </w:pPr>
      <w:r>
        <w:rPr>
          <w:rFonts w:hint="eastAsia" w:eastAsia="仿宋" w:cs="仿宋_GB2312"/>
          <w:sz w:val="30"/>
          <w:szCs w:val="30"/>
          <w:lang w:val="zh-CN"/>
        </w:rPr>
        <w:t>把握好改革的时机和节奏，分类指导、分步实施。对已经开始试点的改革，要精心设计改革方案，加快改革进度，积累改革经验。对全面推进的改革，要周密组织实施，切实抓出成效。对条件尚未成熟的改革，要加强改革前期研究，积极创造条件，适时推出。对涉及重大利益关系调整与群众切身利益密切相关的改革，要广泛听取意见，组织专家论证，</w:t>
      </w:r>
      <w:r>
        <w:rPr>
          <w:rFonts w:hint="eastAsia" w:eastAsia="仿宋" w:cs="仿宋_GB2312"/>
          <w:color w:val="FF0000"/>
          <w:sz w:val="30"/>
          <w:szCs w:val="30"/>
          <w:lang w:val="zh-CN"/>
        </w:rPr>
        <w:t>有序</w:t>
      </w:r>
      <w:r>
        <w:rPr>
          <w:rFonts w:hint="eastAsia" w:eastAsia="仿宋" w:cs="仿宋_GB2312"/>
          <w:sz w:val="30"/>
          <w:szCs w:val="30"/>
          <w:lang w:val="zh-CN"/>
        </w:rPr>
        <w:t>先试点后推广。</w:t>
      </w:r>
    </w:p>
    <w:p>
      <w:pPr>
        <w:pStyle w:val="3"/>
        <w:spacing w:line="440" w:lineRule="exact"/>
        <w:ind w:left="0" w:leftChars="0" w:firstLine="590" w:firstLineChars="196"/>
        <w:rPr>
          <w:rFonts w:ascii="Times New Roman" w:hAnsi="Times New Roman" w:eastAsia="黑体"/>
          <w:sz w:val="30"/>
          <w:szCs w:val="30"/>
        </w:rPr>
      </w:pPr>
      <w:bookmarkStart w:id="154" w:name="_Toc456552734"/>
      <w:bookmarkStart w:id="155" w:name="_Toc31346"/>
      <w:bookmarkStart w:id="156" w:name="_Toc456447977"/>
      <w:r>
        <w:rPr>
          <w:rFonts w:hint="eastAsia" w:ascii="Times New Roman" w:hAnsi="Times New Roman" w:eastAsia="黑体"/>
          <w:sz w:val="30"/>
          <w:szCs w:val="30"/>
        </w:rPr>
        <w:t>五、狠抓落实，确保改革取得实效</w:t>
      </w:r>
      <w:bookmarkEnd w:id="154"/>
      <w:bookmarkEnd w:id="155"/>
      <w:bookmarkEnd w:id="156"/>
    </w:p>
    <w:p>
      <w:pPr>
        <w:autoSpaceDE w:val="0"/>
        <w:autoSpaceDN w:val="0"/>
        <w:adjustRightInd w:val="0"/>
        <w:spacing w:line="440" w:lineRule="exact"/>
        <w:rPr>
          <w:rFonts w:eastAsia="仿宋"/>
          <w:sz w:val="30"/>
          <w:szCs w:val="30"/>
        </w:rPr>
      </w:pPr>
      <w:r>
        <w:rPr>
          <w:rFonts w:hint="eastAsia" w:eastAsia="仿宋" w:cs="仿宋_GB2312"/>
          <w:sz w:val="30"/>
          <w:szCs w:val="30"/>
          <w:lang w:val="zh-CN"/>
        </w:rPr>
        <w:t>制定</w:t>
      </w:r>
      <w:r>
        <w:rPr>
          <w:rFonts w:hint="eastAsia" w:eastAsia="仿宋"/>
          <w:sz w:val="30"/>
          <w:szCs w:val="30"/>
        </w:rPr>
        <w:t>“</w:t>
      </w:r>
      <w:r>
        <w:rPr>
          <w:rFonts w:hint="eastAsia" w:eastAsia="仿宋" w:cs="仿宋_GB2312"/>
          <w:sz w:val="30"/>
          <w:szCs w:val="30"/>
          <w:lang w:val="zh-CN"/>
        </w:rPr>
        <w:t>十三五</w:t>
      </w:r>
      <w:r>
        <w:rPr>
          <w:rFonts w:hint="eastAsia" w:eastAsia="仿宋"/>
          <w:sz w:val="30"/>
          <w:szCs w:val="30"/>
        </w:rPr>
        <w:t>”</w:t>
      </w:r>
      <w:r>
        <w:rPr>
          <w:rFonts w:hint="eastAsia" w:eastAsia="仿宋" w:cs="仿宋_GB2312"/>
          <w:sz w:val="30"/>
          <w:szCs w:val="30"/>
          <w:lang w:val="zh-CN"/>
        </w:rPr>
        <w:t>重点改革工作规划和年度改革工作方案，细化责任，建立责任清单、任务清单，将改革任务具体分解到专项小组、牵头部门，做到任务项目化、责任部门化，要明确时间节点，明确具体的责任单位和个人。对改革进展情况按制度规定加强督查和绩效考评，对绩效考评结果进行运用。</w:t>
      </w:r>
    </w:p>
    <w:p>
      <w:pPr>
        <w:spacing w:line="440" w:lineRule="exact"/>
        <w:rPr>
          <w:rFonts w:eastAsia="仿宋_GB2312"/>
          <w:sz w:val="30"/>
          <w:szCs w:val="30"/>
        </w:rPr>
      </w:pPr>
    </w:p>
    <w:p>
      <w:pPr>
        <w:snapToGrid w:val="0"/>
        <w:spacing w:line="580" w:lineRule="exact"/>
        <w:rPr>
          <w:rFonts w:eastAsia="仿宋" w:cs="宋体"/>
          <w:sz w:val="28"/>
          <w:szCs w:val="28"/>
        </w:rPr>
      </w:pPr>
    </w:p>
    <w:sectPr>
      <w:footerReference r:id="rId4" w:type="default"/>
      <w:pgSz w:w="11906" w:h="16838"/>
      <w:pgMar w:top="1417" w:right="1134" w:bottom="1134" w:left="1417"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文本框 3"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2</w:t>
                </w:r>
                <w:r>
                  <w:rPr>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8" o:spid="_x0000_s4098"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sz w:val="24"/>
                  </w:rPr>
                </w:pPr>
                <w:r>
                  <w:rPr>
                    <w:sz w:val="24"/>
                  </w:rPr>
                  <w:fldChar w:fldCharType="begin"/>
                </w:r>
                <w:r>
                  <w:rPr>
                    <w:sz w:val="24"/>
                  </w:rPr>
                  <w:instrText xml:space="preserve"> PAGE  \* MERGEFORMAT </w:instrText>
                </w:r>
                <w:r>
                  <w:rPr>
                    <w:sz w:val="24"/>
                  </w:rPr>
                  <w:fldChar w:fldCharType="separate"/>
                </w:r>
                <w:r>
                  <w:rPr>
                    <w:sz w:val="24"/>
                  </w:rPr>
                  <w:t>- 3 -</w:t>
                </w:r>
                <w:r>
                  <w:rPr>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CF0"/>
    <w:rsid w:val="000031B4"/>
    <w:rsid w:val="0000665A"/>
    <w:rsid w:val="00021685"/>
    <w:rsid w:val="00032819"/>
    <w:rsid w:val="000437F0"/>
    <w:rsid w:val="00047BCA"/>
    <w:rsid w:val="00047FE1"/>
    <w:rsid w:val="000606AF"/>
    <w:rsid w:val="000612BE"/>
    <w:rsid w:val="000630E6"/>
    <w:rsid w:val="00065197"/>
    <w:rsid w:val="000754FE"/>
    <w:rsid w:val="000815C3"/>
    <w:rsid w:val="00085205"/>
    <w:rsid w:val="000853E3"/>
    <w:rsid w:val="0009127A"/>
    <w:rsid w:val="000A4561"/>
    <w:rsid w:val="000A5CD4"/>
    <w:rsid w:val="000B3488"/>
    <w:rsid w:val="000B3ADD"/>
    <w:rsid w:val="000B3BCE"/>
    <w:rsid w:val="000B64EC"/>
    <w:rsid w:val="000B66EF"/>
    <w:rsid w:val="000C2E43"/>
    <w:rsid w:val="000C3D25"/>
    <w:rsid w:val="000C42B0"/>
    <w:rsid w:val="000C4C3C"/>
    <w:rsid w:val="000D4530"/>
    <w:rsid w:val="000D67DE"/>
    <w:rsid w:val="000E2DD3"/>
    <w:rsid w:val="000E3B87"/>
    <w:rsid w:val="000E5CF9"/>
    <w:rsid w:val="000E68EF"/>
    <w:rsid w:val="000E7098"/>
    <w:rsid w:val="000F29F2"/>
    <w:rsid w:val="000F7BC1"/>
    <w:rsid w:val="00102565"/>
    <w:rsid w:val="00111F5C"/>
    <w:rsid w:val="001244D3"/>
    <w:rsid w:val="001245E0"/>
    <w:rsid w:val="00124D68"/>
    <w:rsid w:val="00125467"/>
    <w:rsid w:val="001312DA"/>
    <w:rsid w:val="001403AF"/>
    <w:rsid w:val="00152140"/>
    <w:rsid w:val="001538CB"/>
    <w:rsid w:val="00154374"/>
    <w:rsid w:val="00163146"/>
    <w:rsid w:val="00166A75"/>
    <w:rsid w:val="001754E5"/>
    <w:rsid w:val="00187D8C"/>
    <w:rsid w:val="00191D2F"/>
    <w:rsid w:val="00196629"/>
    <w:rsid w:val="001A17DF"/>
    <w:rsid w:val="001A5BD9"/>
    <w:rsid w:val="001C460E"/>
    <w:rsid w:val="001C683F"/>
    <w:rsid w:val="001E5EDD"/>
    <w:rsid w:val="001E64F8"/>
    <w:rsid w:val="001F0F73"/>
    <w:rsid w:val="001F36F5"/>
    <w:rsid w:val="001F7FD5"/>
    <w:rsid w:val="00201085"/>
    <w:rsid w:val="00210BB3"/>
    <w:rsid w:val="00211562"/>
    <w:rsid w:val="0021653D"/>
    <w:rsid w:val="0022424E"/>
    <w:rsid w:val="00260ED7"/>
    <w:rsid w:val="00284D97"/>
    <w:rsid w:val="00284F4E"/>
    <w:rsid w:val="0028639E"/>
    <w:rsid w:val="002869B1"/>
    <w:rsid w:val="002938B2"/>
    <w:rsid w:val="0029589A"/>
    <w:rsid w:val="002A10A1"/>
    <w:rsid w:val="002A517E"/>
    <w:rsid w:val="002A6D4F"/>
    <w:rsid w:val="002B2CD3"/>
    <w:rsid w:val="002B35BC"/>
    <w:rsid w:val="002B42DE"/>
    <w:rsid w:val="002B5DDD"/>
    <w:rsid w:val="002C2A5E"/>
    <w:rsid w:val="002C7D8E"/>
    <w:rsid w:val="002D4E1C"/>
    <w:rsid w:val="002D512F"/>
    <w:rsid w:val="002E1CC9"/>
    <w:rsid w:val="002F1CFC"/>
    <w:rsid w:val="002F308B"/>
    <w:rsid w:val="003058D8"/>
    <w:rsid w:val="00316F4F"/>
    <w:rsid w:val="00321726"/>
    <w:rsid w:val="00332FED"/>
    <w:rsid w:val="003348B3"/>
    <w:rsid w:val="00341075"/>
    <w:rsid w:val="00343335"/>
    <w:rsid w:val="0034339C"/>
    <w:rsid w:val="00356777"/>
    <w:rsid w:val="00381431"/>
    <w:rsid w:val="003929A7"/>
    <w:rsid w:val="00396B54"/>
    <w:rsid w:val="003A653F"/>
    <w:rsid w:val="003A6AFF"/>
    <w:rsid w:val="003B0B6A"/>
    <w:rsid w:val="003C3145"/>
    <w:rsid w:val="003D6077"/>
    <w:rsid w:val="003D755C"/>
    <w:rsid w:val="003E02A8"/>
    <w:rsid w:val="003E2C5D"/>
    <w:rsid w:val="004000BF"/>
    <w:rsid w:val="004079E6"/>
    <w:rsid w:val="0041482E"/>
    <w:rsid w:val="004148AB"/>
    <w:rsid w:val="004201FA"/>
    <w:rsid w:val="0042148D"/>
    <w:rsid w:val="0042154D"/>
    <w:rsid w:val="0043093B"/>
    <w:rsid w:val="00440395"/>
    <w:rsid w:val="00444214"/>
    <w:rsid w:val="00446990"/>
    <w:rsid w:val="00447328"/>
    <w:rsid w:val="00447EC2"/>
    <w:rsid w:val="00452842"/>
    <w:rsid w:val="0045353A"/>
    <w:rsid w:val="00454BC5"/>
    <w:rsid w:val="00455BF2"/>
    <w:rsid w:val="004727F4"/>
    <w:rsid w:val="0047336A"/>
    <w:rsid w:val="00474CC3"/>
    <w:rsid w:val="004808D1"/>
    <w:rsid w:val="0048153E"/>
    <w:rsid w:val="004953A5"/>
    <w:rsid w:val="004A2316"/>
    <w:rsid w:val="004A37D9"/>
    <w:rsid w:val="004C1871"/>
    <w:rsid w:val="004C573A"/>
    <w:rsid w:val="004C66CC"/>
    <w:rsid w:val="004D1D75"/>
    <w:rsid w:val="004E3FEC"/>
    <w:rsid w:val="004E5EEF"/>
    <w:rsid w:val="004F6D9A"/>
    <w:rsid w:val="00520511"/>
    <w:rsid w:val="00525347"/>
    <w:rsid w:val="005300F1"/>
    <w:rsid w:val="005365C7"/>
    <w:rsid w:val="00551B0E"/>
    <w:rsid w:val="00552D70"/>
    <w:rsid w:val="005569C0"/>
    <w:rsid w:val="00560965"/>
    <w:rsid w:val="005672FF"/>
    <w:rsid w:val="005731E2"/>
    <w:rsid w:val="00574566"/>
    <w:rsid w:val="00581937"/>
    <w:rsid w:val="00590887"/>
    <w:rsid w:val="005921A4"/>
    <w:rsid w:val="00593ED7"/>
    <w:rsid w:val="00596A2C"/>
    <w:rsid w:val="00596CF6"/>
    <w:rsid w:val="005A3AB2"/>
    <w:rsid w:val="005B4CF0"/>
    <w:rsid w:val="005C6268"/>
    <w:rsid w:val="005E02AC"/>
    <w:rsid w:val="005E1A68"/>
    <w:rsid w:val="005E35A0"/>
    <w:rsid w:val="005F15B4"/>
    <w:rsid w:val="005F3606"/>
    <w:rsid w:val="005F44E0"/>
    <w:rsid w:val="005F7015"/>
    <w:rsid w:val="00601613"/>
    <w:rsid w:val="0060459F"/>
    <w:rsid w:val="00611D7B"/>
    <w:rsid w:val="00616F5D"/>
    <w:rsid w:val="006171AA"/>
    <w:rsid w:val="006224D5"/>
    <w:rsid w:val="00631E61"/>
    <w:rsid w:val="00637872"/>
    <w:rsid w:val="00652EB0"/>
    <w:rsid w:val="00672CF2"/>
    <w:rsid w:val="00675A75"/>
    <w:rsid w:val="00683A91"/>
    <w:rsid w:val="0068545A"/>
    <w:rsid w:val="006A300D"/>
    <w:rsid w:val="006B05DD"/>
    <w:rsid w:val="006B14FF"/>
    <w:rsid w:val="006B41BC"/>
    <w:rsid w:val="006C0002"/>
    <w:rsid w:val="006C275F"/>
    <w:rsid w:val="006D4A68"/>
    <w:rsid w:val="006D55AF"/>
    <w:rsid w:val="006D637E"/>
    <w:rsid w:val="006E2557"/>
    <w:rsid w:val="006E259C"/>
    <w:rsid w:val="006E2961"/>
    <w:rsid w:val="006E3765"/>
    <w:rsid w:val="006E5523"/>
    <w:rsid w:val="006F64F6"/>
    <w:rsid w:val="0070023E"/>
    <w:rsid w:val="00700CA1"/>
    <w:rsid w:val="00705147"/>
    <w:rsid w:val="007056D0"/>
    <w:rsid w:val="00717C76"/>
    <w:rsid w:val="0072001C"/>
    <w:rsid w:val="00721EF4"/>
    <w:rsid w:val="00734335"/>
    <w:rsid w:val="00737907"/>
    <w:rsid w:val="00746643"/>
    <w:rsid w:val="00746F98"/>
    <w:rsid w:val="007475A6"/>
    <w:rsid w:val="0076391B"/>
    <w:rsid w:val="00765383"/>
    <w:rsid w:val="00771E1A"/>
    <w:rsid w:val="007745F4"/>
    <w:rsid w:val="0077663A"/>
    <w:rsid w:val="0077700B"/>
    <w:rsid w:val="00790259"/>
    <w:rsid w:val="007906B8"/>
    <w:rsid w:val="007A4103"/>
    <w:rsid w:val="007B2E45"/>
    <w:rsid w:val="007B40D7"/>
    <w:rsid w:val="007B4D6A"/>
    <w:rsid w:val="007C3468"/>
    <w:rsid w:val="007C4DE8"/>
    <w:rsid w:val="007C5536"/>
    <w:rsid w:val="007D26D0"/>
    <w:rsid w:val="007F4BB0"/>
    <w:rsid w:val="007F5060"/>
    <w:rsid w:val="007F5603"/>
    <w:rsid w:val="00800C0B"/>
    <w:rsid w:val="008119C8"/>
    <w:rsid w:val="00817CB8"/>
    <w:rsid w:val="00836CC2"/>
    <w:rsid w:val="008408C0"/>
    <w:rsid w:val="00845F3F"/>
    <w:rsid w:val="00846970"/>
    <w:rsid w:val="008537C4"/>
    <w:rsid w:val="0085432A"/>
    <w:rsid w:val="008551D1"/>
    <w:rsid w:val="0085738C"/>
    <w:rsid w:val="00863AC6"/>
    <w:rsid w:val="00881045"/>
    <w:rsid w:val="00883359"/>
    <w:rsid w:val="00883532"/>
    <w:rsid w:val="00884406"/>
    <w:rsid w:val="00886BAF"/>
    <w:rsid w:val="008A504A"/>
    <w:rsid w:val="008B0982"/>
    <w:rsid w:val="008B60C5"/>
    <w:rsid w:val="008C73A3"/>
    <w:rsid w:val="008D1254"/>
    <w:rsid w:val="008E07F7"/>
    <w:rsid w:val="008E3729"/>
    <w:rsid w:val="008F74E7"/>
    <w:rsid w:val="009021A1"/>
    <w:rsid w:val="0091271B"/>
    <w:rsid w:val="00914C14"/>
    <w:rsid w:val="009150D5"/>
    <w:rsid w:val="00917B04"/>
    <w:rsid w:val="00924962"/>
    <w:rsid w:val="00930CCE"/>
    <w:rsid w:val="0093498A"/>
    <w:rsid w:val="009370EB"/>
    <w:rsid w:val="00952BDD"/>
    <w:rsid w:val="0096236C"/>
    <w:rsid w:val="00976009"/>
    <w:rsid w:val="00977C6D"/>
    <w:rsid w:val="009818E9"/>
    <w:rsid w:val="00995C5C"/>
    <w:rsid w:val="00995F6A"/>
    <w:rsid w:val="009A3F99"/>
    <w:rsid w:val="009A4838"/>
    <w:rsid w:val="009B6D25"/>
    <w:rsid w:val="009C5CCA"/>
    <w:rsid w:val="009D00EB"/>
    <w:rsid w:val="009D341D"/>
    <w:rsid w:val="009D5A0C"/>
    <w:rsid w:val="009D65EF"/>
    <w:rsid w:val="009E5621"/>
    <w:rsid w:val="009E7854"/>
    <w:rsid w:val="009F6B84"/>
    <w:rsid w:val="00A06E5B"/>
    <w:rsid w:val="00A071EA"/>
    <w:rsid w:val="00A1748A"/>
    <w:rsid w:val="00A27477"/>
    <w:rsid w:val="00A33511"/>
    <w:rsid w:val="00A34004"/>
    <w:rsid w:val="00A34EA4"/>
    <w:rsid w:val="00A351A4"/>
    <w:rsid w:val="00A4441A"/>
    <w:rsid w:val="00A57377"/>
    <w:rsid w:val="00A60A23"/>
    <w:rsid w:val="00A60EA4"/>
    <w:rsid w:val="00A60FCA"/>
    <w:rsid w:val="00A6249E"/>
    <w:rsid w:val="00A677F9"/>
    <w:rsid w:val="00A7262A"/>
    <w:rsid w:val="00A84794"/>
    <w:rsid w:val="00A87C11"/>
    <w:rsid w:val="00A951A9"/>
    <w:rsid w:val="00AA41C8"/>
    <w:rsid w:val="00AB5E91"/>
    <w:rsid w:val="00AB5FFC"/>
    <w:rsid w:val="00AB6526"/>
    <w:rsid w:val="00AC23D7"/>
    <w:rsid w:val="00AC3A7B"/>
    <w:rsid w:val="00AD7A2C"/>
    <w:rsid w:val="00AE0C29"/>
    <w:rsid w:val="00AF080C"/>
    <w:rsid w:val="00B10F28"/>
    <w:rsid w:val="00B15AF0"/>
    <w:rsid w:val="00B16ED8"/>
    <w:rsid w:val="00B37B41"/>
    <w:rsid w:val="00B43766"/>
    <w:rsid w:val="00B44738"/>
    <w:rsid w:val="00B44EE6"/>
    <w:rsid w:val="00B45BE1"/>
    <w:rsid w:val="00B6375D"/>
    <w:rsid w:val="00B71B4C"/>
    <w:rsid w:val="00B84EBD"/>
    <w:rsid w:val="00BA046D"/>
    <w:rsid w:val="00BA414E"/>
    <w:rsid w:val="00BA79B5"/>
    <w:rsid w:val="00BB2771"/>
    <w:rsid w:val="00BB4732"/>
    <w:rsid w:val="00BB5CA2"/>
    <w:rsid w:val="00BC3FDB"/>
    <w:rsid w:val="00BD5FCE"/>
    <w:rsid w:val="00BD7F57"/>
    <w:rsid w:val="00BE3C48"/>
    <w:rsid w:val="00BF0AD9"/>
    <w:rsid w:val="00BF3D8C"/>
    <w:rsid w:val="00C041A0"/>
    <w:rsid w:val="00C07DAC"/>
    <w:rsid w:val="00C11A72"/>
    <w:rsid w:val="00C20AD4"/>
    <w:rsid w:val="00C23125"/>
    <w:rsid w:val="00C353B7"/>
    <w:rsid w:val="00C371AD"/>
    <w:rsid w:val="00C37D65"/>
    <w:rsid w:val="00C46C8D"/>
    <w:rsid w:val="00C47D6E"/>
    <w:rsid w:val="00C51498"/>
    <w:rsid w:val="00C55FAD"/>
    <w:rsid w:val="00C60E80"/>
    <w:rsid w:val="00C6123F"/>
    <w:rsid w:val="00C62633"/>
    <w:rsid w:val="00C62879"/>
    <w:rsid w:val="00C74025"/>
    <w:rsid w:val="00C75765"/>
    <w:rsid w:val="00C915F9"/>
    <w:rsid w:val="00C95408"/>
    <w:rsid w:val="00C96D46"/>
    <w:rsid w:val="00CA601F"/>
    <w:rsid w:val="00CB0FAB"/>
    <w:rsid w:val="00CC1E24"/>
    <w:rsid w:val="00CC3CAB"/>
    <w:rsid w:val="00CD769A"/>
    <w:rsid w:val="00CD7FD4"/>
    <w:rsid w:val="00CE2C74"/>
    <w:rsid w:val="00CE3105"/>
    <w:rsid w:val="00CE67DE"/>
    <w:rsid w:val="00CF0082"/>
    <w:rsid w:val="00CF3C83"/>
    <w:rsid w:val="00CF78BD"/>
    <w:rsid w:val="00D00824"/>
    <w:rsid w:val="00D03241"/>
    <w:rsid w:val="00D03598"/>
    <w:rsid w:val="00D11D30"/>
    <w:rsid w:val="00D178E2"/>
    <w:rsid w:val="00D33640"/>
    <w:rsid w:val="00D337A7"/>
    <w:rsid w:val="00D56D1E"/>
    <w:rsid w:val="00D670CD"/>
    <w:rsid w:val="00D7333B"/>
    <w:rsid w:val="00D8431D"/>
    <w:rsid w:val="00D920CD"/>
    <w:rsid w:val="00D93EB0"/>
    <w:rsid w:val="00DA61B8"/>
    <w:rsid w:val="00DB1D4D"/>
    <w:rsid w:val="00DB34C5"/>
    <w:rsid w:val="00DC3472"/>
    <w:rsid w:val="00DC4649"/>
    <w:rsid w:val="00DC54D2"/>
    <w:rsid w:val="00DD1BFE"/>
    <w:rsid w:val="00DD4D07"/>
    <w:rsid w:val="00DE2E30"/>
    <w:rsid w:val="00DF5AE2"/>
    <w:rsid w:val="00DF65ED"/>
    <w:rsid w:val="00DF7924"/>
    <w:rsid w:val="00E024CF"/>
    <w:rsid w:val="00E0518F"/>
    <w:rsid w:val="00E24ED7"/>
    <w:rsid w:val="00E31B29"/>
    <w:rsid w:val="00E340F4"/>
    <w:rsid w:val="00E40181"/>
    <w:rsid w:val="00E406C1"/>
    <w:rsid w:val="00E40D0A"/>
    <w:rsid w:val="00E432A0"/>
    <w:rsid w:val="00E47F6A"/>
    <w:rsid w:val="00E506ED"/>
    <w:rsid w:val="00E557AE"/>
    <w:rsid w:val="00E62631"/>
    <w:rsid w:val="00E63477"/>
    <w:rsid w:val="00E70B41"/>
    <w:rsid w:val="00E774A5"/>
    <w:rsid w:val="00E825F7"/>
    <w:rsid w:val="00E84DDE"/>
    <w:rsid w:val="00EA1C55"/>
    <w:rsid w:val="00EB220D"/>
    <w:rsid w:val="00EC59BD"/>
    <w:rsid w:val="00EE2779"/>
    <w:rsid w:val="00EE6821"/>
    <w:rsid w:val="00EF603C"/>
    <w:rsid w:val="00F00041"/>
    <w:rsid w:val="00F003D5"/>
    <w:rsid w:val="00F04DA0"/>
    <w:rsid w:val="00F22974"/>
    <w:rsid w:val="00F230B3"/>
    <w:rsid w:val="00F311C3"/>
    <w:rsid w:val="00F33F00"/>
    <w:rsid w:val="00F40A00"/>
    <w:rsid w:val="00F449F8"/>
    <w:rsid w:val="00F51B33"/>
    <w:rsid w:val="00F55BF2"/>
    <w:rsid w:val="00F56ED9"/>
    <w:rsid w:val="00F66D59"/>
    <w:rsid w:val="00F724C2"/>
    <w:rsid w:val="00F72FDD"/>
    <w:rsid w:val="00F94575"/>
    <w:rsid w:val="00FA0FF4"/>
    <w:rsid w:val="00FA40A2"/>
    <w:rsid w:val="00FB035F"/>
    <w:rsid w:val="00FB15AD"/>
    <w:rsid w:val="00FC03C2"/>
    <w:rsid w:val="00FC0537"/>
    <w:rsid w:val="00FD4190"/>
    <w:rsid w:val="00FD7DE6"/>
    <w:rsid w:val="00FF05FB"/>
    <w:rsid w:val="00FF3244"/>
    <w:rsid w:val="00FF4703"/>
    <w:rsid w:val="0AA208B9"/>
    <w:rsid w:val="0E846423"/>
    <w:rsid w:val="11582B96"/>
    <w:rsid w:val="22230C86"/>
    <w:rsid w:val="2D596257"/>
    <w:rsid w:val="3C370481"/>
    <w:rsid w:val="3E3C160F"/>
    <w:rsid w:val="3F7E7F3A"/>
    <w:rsid w:val="422E21A6"/>
    <w:rsid w:val="4A07528E"/>
    <w:rsid w:val="519D20E2"/>
    <w:rsid w:val="51D5463C"/>
    <w:rsid w:val="5DC02707"/>
    <w:rsid w:val="5F3D2EFC"/>
    <w:rsid w:val="6D58614A"/>
    <w:rsid w:val="715D4428"/>
    <w:rsid w:val="78F40BE8"/>
    <w:rsid w:val="7F811AE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adjustRightInd w:val="0"/>
      <w:snapToGrid w:val="0"/>
      <w:ind w:left="420" w:leftChars="200"/>
      <w:outlineLvl w:val="1"/>
    </w:pPr>
    <w:rPr>
      <w:rFonts w:ascii="Arial" w:hAnsi="Arial"/>
      <w:b/>
      <w:sz w:val="24"/>
    </w:rPr>
  </w:style>
  <w:style w:type="paragraph" w:styleId="4">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3">
    <w:name w:val="Default Paragraph Font"/>
    <w:semiHidden/>
    <w:qFormat/>
    <w:uiPriority w:val="99"/>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5">
    <w:name w:val="Document Map"/>
    <w:basedOn w:val="1"/>
    <w:link w:val="21"/>
    <w:semiHidden/>
    <w:qFormat/>
    <w:uiPriority w:val="99"/>
    <w:pPr>
      <w:shd w:val="clear" w:color="auto" w:fill="000080"/>
    </w:pPr>
  </w:style>
  <w:style w:type="paragraph" w:styleId="6">
    <w:name w:val="toc 3"/>
    <w:basedOn w:val="1"/>
    <w:next w:val="1"/>
    <w:semiHidden/>
    <w:qFormat/>
    <w:uiPriority w:val="99"/>
    <w:pPr>
      <w:ind w:left="840" w:leftChars="400"/>
    </w:pPr>
  </w:style>
  <w:style w:type="paragraph" w:styleId="7">
    <w:name w:val="Balloon Text"/>
    <w:basedOn w:val="1"/>
    <w:link w:val="22"/>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style>
  <w:style w:type="paragraph" w:styleId="11">
    <w:name w:val="toc 2"/>
    <w:basedOn w:val="1"/>
    <w:next w:val="1"/>
    <w:semiHidden/>
    <w:qFormat/>
    <w:uiPriority w:val="99"/>
    <w:pPr>
      <w:ind w:left="420" w:leftChars="200"/>
    </w:p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99"/>
    <w:rPr>
      <w:rFonts w:cs="Times New Roman"/>
      <w:b/>
      <w:bCs/>
    </w:rPr>
  </w:style>
  <w:style w:type="character" w:styleId="15">
    <w:name w:val="Hyperlink"/>
    <w:basedOn w:val="13"/>
    <w:qFormat/>
    <w:uiPriority w:val="99"/>
    <w:rPr>
      <w:rFonts w:cs="Times New Roman"/>
      <w:color w:val="0000FF"/>
      <w:u w:val="single"/>
    </w:rPr>
  </w:style>
  <w:style w:type="table" w:styleId="17">
    <w:name w:val="Table Grid"/>
    <w:basedOn w:val="1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3"/>
    <w:link w:val="2"/>
    <w:qFormat/>
    <w:locked/>
    <w:uiPriority w:val="99"/>
    <w:rPr>
      <w:rFonts w:cs="Times New Roman"/>
      <w:b/>
      <w:bCs/>
      <w:kern w:val="44"/>
      <w:sz w:val="44"/>
      <w:szCs w:val="44"/>
    </w:rPr>
  </w:style>
  <w:style w:type="character" w:customStyle="1" w:styleId="19">
    <w:name w:val="Heading 2 Char"/>
    <w:basedOn w:val="13"/>
    <w:link w:val="3"/>
    <w:qFormat/>
    <w:locked/>
    <w:uiPriority w:val="99"/>
    <w:rPr>
      <w:rFonts w:ascii="Arial" w:hAnsi="Arial" w:eastAsia="宋体" w:cs="Times New Roman"/>
      <w:b/>
      <w:kern w:val="2"/>
      <w:sz w:val="24"/>
      <w:lang w:val="en-US" w:eastAsia="zh-CN"/>
    </w:rPr>
  </w:style>
  <w:style w:type="character" w:customStyle="1" w:styleId="20">
    <w:name w:val="Heading 3 Char"/>
    <w:basedOn w:val="13"/>
    <w:link w:val="4"/>
    <w:semiHidden/>
    <w:qFormat/>
    <w:locked/>
    <w:uiPriority w:val="99"/>
    <w:rPr>
      <w:rFonts w:cs="Times New Roman"/>
      <w:b/>
      <w:bCs/>
      <w:kern w:val="2"/>
      <w:sz w:val="32"/>
      <w:szCs w:val="32"/>
    </w:rPr>
  </w:style>
  <w:style w:type="character" w:customStyle="1" w:styleId="21">
    <w:name w:val="Document Map Char"/>
    <w:basedOn w:val="13"/>
    <w:link w:val="5"/>
    <w:semiHidden/>
    <w:qFormat/>
    <w:locked/>
    <w:uiPriority w:val="99"/>
    <w:rPr>
      <w:rFonts w:cs="Times New Roman"/>
      <w:sz w:val="2"/>
    </w:rPr>
  </w:style>
  <w:style w:type="character" w:customStyle="1" w:styleId="22">
    <w:name w:val="Balloon Text Char"/>
    <w:basedOn w:val="13"/>
    <w:link w:val="7"/>
    <w:semiHidden/>
    <w:qFormat/>
    <w:locked/>
    <w:uiPriority w:val="99"/>
    <w:rPr>
      <w:rFonts w:cs="Times New Roman"/>
      <w:sz w:val="2"/>
    </w:rPr>
  </w:style>
  <w:style w:type="character" w:customStyle="1" w:styleId="23">
    <w:name w:val="Footer Char"/>
    <w:basedOn w:val="13"/>
    <w:link w:val="8"/>
    <w:qFormat/>
    <w:locked/>
    <w:uiPriority w:val="99"/>
    <w:rPr>
      <w:rFonts w:cs="Times New Roman"/>
      <w:kern w:val="2"/>
      <w:sz w:val="18"/>
      <w:szCs w:val="18"/>
    </w:rPr>
  </w:style>
  <w:style w:type="character" w:customStyle="1" w:styleId="24">
    <w:name w:val="Header Char"/>
    <w:basedOn w:val="13"/>
    <w:link w:val="9"/>
    <w:qFormat/>
    <w:locked/>
    <w:uiPriority w:val="99"/>
    <w:rPr>
      <w:rFonts w:cs="Times New Roman"/>
      <w:kern w:val="2"/>
      <w:sz w:val="18"/>
      <w:szCs w:val="18"/>
    </w:rPr>
  </w:style>
  <w:style w:type="paragraph" w:customStyle="1" w:styleId="25">
    <w:name w:val="Char"/>
    <w:basedOn w:val="5"/>
    <w:qFormat/>
    <w:uiPriority w:val="99"/>
    <w:pPr>
      <w:adjustRightInd w:val="0"/>
      <w:spacing w:line="436" w:lineRule="exact"/>
    </w:pPr>
    <w:rPr>
      <w:szCs w:val="20"/>
    </w:rPr>
  </w:style>
  <w:style w:type="paragraph" w:customStyle="1" w:styleId="26">
    <w:name w:val="样式2"/>
    <w:basedOn w:val="1"/>
    <w:next w:val="4"/>
    <w:qFormat/>
    <w:uiPriority w:val="99"/>
    <w:pPr>
      <w:spacing w:line="360" w:lineRule="auto"/>
    </w:pPr>
    <w:rPr>
      <w:rFonts w:ascii="仿宋" w:hAnsi="仿宋" w:eastAsia="仿宋"/>
      <w:b/>
      <w:bCs/>
      <w:sz w:val="32"/>
      <w:szCs w:val="32"/>
    </w:rPr>
  </w:style>
  <w:style w:type="paragraph" w:customStyle="1" w:styleId="27">
    <w:name w:val="样式3"/>
    <w:basedOn w:val="4"/>
    <w:qFormat/>
    <w:uiPriority w:val="99"/>
  </w:style>
  <w:style w:type="paragraph" w:customStyle="1" w:styleId="28">
    <w:name w:val="样式1"/>
    <w:basedOn w:val="1"/>
    <w:next w:val="4"/>
    <w:qFormat/>
    <w:uiPriority w:val="99"/>
    <w:pPr>
      <w:spacing w:line="360" w:lineRule="auto"/>
    </w:pPr>
    <w:rPr>
      <w:rFonts w:ascii="仿宋" w:hAnsi="仿宋" w:eastAsia="仿宋"/>
      <w:b/>
      <w:bCs/>
      <w:sz w:val="32"/>
      <w:szCs w:val="32"/>
    </w:rPr>
  </w:style>
  <w:style w:type="paragraph" w:customStyle="1" w:styleId="29">
    <w:name w:val="p0"/>
    <w:basedOn w:val="1"/>
    <w:qFormat/>
    <w:uiPriority w:val="99"/>
    <w:pPr>
      <w:widowControl/>
    </w:pPr>
    <w:rPr>
      <w:rFonts w:ascii="Calibri" w:hAnsi="Calibri" w:cs="宋体"/>
      <w:kern w:val="0"/>
      <w:szCs w:val="21"/>
    </w:rPr>
  </w:style>
  <w:style w:type="paragraph" w:customStyle="1" w:styleId="30">
    <w:name w:val="Char1"/>
    <w:basedOn w:val="5"/>
    <w:qFormat/>
    <w:uiPriority w:val="99"/>
    <w:rPr>
      <w:szCs w:val="21"/>
    </w:rPr>
  </w:style>
  <w:style w:type="character" w:customStyle="1" w:styleId="31">
    <w:name w:val="apple-converted-space"/>
    <w:basedOn w:val="13"/>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38</Pages>
  <Words>5215</Words>
  <Characters>29732</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2016-11-28T09:08:00Z</dcterms:created>
  <dc:creator>win</dc:creator>
  <cp:lastModifiedBy>LI</cp:lastModifiedBy>
  <cp:lastPrinted>2017-02-04T07:16:00Z</cp:lastPrinted>
  <dcterms:modified xsi:type="dcterms:W3CDTF">2023-01-12T07:05:59Z</dcterms:modified>
  <dc:title>桂林市经济体制改革十三五规划</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