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b/>
          <w:sz w:val="56"/>
        </w:rPr>
      </w:pPr>
      <w:r>
        <w:rPr>
          <w:rFonts w:hint="eastAsia" w:ascii="仿宋_GB2312" w:eastAsia="仿宋_GB2312"/>
          <w:b/>
          <w:sz w:val="56"/>
        </w:rPr>
        <w:t>桂林市粮食和物资储备行业</w:t>
      </w:r>
    </w:p>
    <w:p>
      <w:pPr>
        <w:jc w:val="center"/>
        <w:rPr>
          <w:rFonts w:ascii="仿宋_GB2312" w:eastAsia="仿宋_GB2312"/>
          <w:b/>
          <w:sz w:val="56"/>
        </w:rPr>
      </w:pPr>
      <w:r>
        <w:rPr>
          <w:rFonts w:hint="eastAsia" w:ascii="仿宋_GB2312" w:eastAsia="仿宋_GB2312"/>
          <w:b/>
          <w:sz w:val="56"/>
        </w:rPr>
        <w:t>发展“十四五”规划</w:t>
      </w:r>
    </w:p>
    <w:p>
      <w:pPr>
        <w:jc w:val="center"/>
        <w:rPr>
          <w:rFonts w:ascii="仿宋_GB2312" w:eastAsia="仿宋_GB2312"/>
          <w:sz w:val="44"/>
        </w:rPr>
      </w:pPr>
    </w:p>
    <w:p>
      <w:pPr>
        <w:jc w:val="center"/>
        <w:rPr>
          <w:rFonts w:ascii="仿宋_GB2312" w:eastAsia="仿宋_GB2312"/>
          <w:sz w:val="44"/>
        </w:rPr>
      </w:pPr>
      <w:r>
        <w:rPr>
          <w:rFonts w:hint="eastAsia" w:ascii="仿宋_GB2312" w:eastAsia="仿宋_GB2312"/>
          <w:sz w:val="44"/>
        </w:rPr>
        <w:t>（征求意见稿）</w:t>
      </w:r>
    </w:p>
    <w:p>
      <w:pPr>
        <w:jc w:val="cente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r>
        <w:rPr>
          <w:rFonts w:hint="eastAsia" w:ascii="仿宋_GB2312" w:eastAsia="仿宋_GB2312"/>
          <w:sz w:val="44"/>
        </w:rPr>
        <w:t>桂林市粮食和物资储备局</w:t>
      </w:r>
    </w:p>
    <w:p>
      <w:pPr>
        <w:jc w:val="center"/>
        <w:rPr>
          <w:rFonts w:ascii="仿宋_GB2312" w:eastAsia="仿宋_GB2312"/>
          <w:sz w:val="44"/>
        </w:rPr>
      </w:pPr>
      <w:r>
        <w:rPr>
          <w:rFonts w:hint="eastAsia" w:ascii="仿宋_GB2312" w:eastAsia="仿宋_GB2312"/>
          <w:sz w:val="44"/>
        </w:rPr>
        <w:t>二〇二一年十二月</w:t>
      </w:r>
    </w:p>
    <w:p>
      <w:pPr>
        <w:jc w:val="center"/>
        <w:rPr>
          <w:rFonts w:ascii="仿宋_GB2312" w:eastAsia="仿宋_GB2312"/>
          <w:sz w:val="44"/>
        </w:rPr>
      </w:pPr>
    </w:p>
    <w:p>
      <w:pPr>
        <w:jc w:val="center"/>
        <w:rPr>
          <w:rFonts w:ascii="仿宋_GB2312" w:eastAsia="仿宋_GB2312"/>
          <w:sz w:val="44"/>
        </w:rPr>
      </w:pPr>
    </w:p>
    <w:p>
      <w:pPr>
        <w:rPr>
          <w:rFonts w:ascii="仿宋_GB2312" w:eastAsia="仿宋_GB2312"/>
          <w:b/>
          <w:sz w:val="32"/>
        </w:rPr>
        <w:sectPr>
          <w:footerReference r:id="rId3" w:type="default"/>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lang w:val="zh-CN"/>
        </w:rPr>
        <w:id w:val="-893271760"/>
      </w:sdtPr>
      <w:sdtEndPr>
        <w:rPr>
          <w:rFonts w:ascii="宋体" w:hAnsi="宋体" w:eastAsia="宋体" w:cs="宋体"/>
          <w:b/>
          <w:bCs/>
          <w:color w:val="auto"/>
          <w:kern w:val="0"/>
          <w:sz w:val="24"/>
          <w:szCs w:val="24"/>
          <w:lang w:val="zh-CN"/>
        </w:rPr>
      </w:sdtEndPr>
      <w:sdtContent>
        <w:p>
          <w:pPr>
            <w:pStyle w:val="19"/>
            <w:jc w:val="center"/>
            <w:rPr>
              <w:rFonts w:ascii="仿宋_GB2312" w:eastAsia="仿宋_GB2312"/>
              <w:b/>
              <w:color w:val="auto"/>
              <w:sz w:val="44"/>
              <w:szCs w:val="28"/>
            </w:rPr>
          </w:pPr>
          <w:r>
            <w:rPr>
              <w:rFonts w:hint="eastAsia" w:ascii="仿宋_GB2312" w:eastAsia="仿宋_GB2312"/>
              <w:b/>
              <w:color w:val="auto"/>
              <w:sz w:val="44"/>
              <w:szCs w:val="28"/>
              <w:lang w:val="zh-CN"/>
            </w:rPr>
            <w:t>目 录</w:t>
          </w:r>
        </w:p>
        <w:p>
          <w:pPr>
            <w:pStyle w:val="9"/>
            <w:rPr>
              <w:rFonts w:hAnsiTheme="minorHAnsi" w:cstheme="minorBidi"/>
              <w:b w:val="0"/>
              <w:bCs w:val="0"/>
              <w:kern w:val="2"/>
            </w:rPr>
          </w:pPr>
          <w:r>
            <w:rPr>
              <w:rFonts w:hint="eastAsia"/>
            </w:rPr>
            <w:fldChar w:fldCharType="begin"/>
          </w:r>
          <w:r>
            <w:rPr>
              <w:rFonts w:hint="eastAsia"/>
            </w:rPr>
            <w:instrText xml:space="preserve"> TOC \o "1-3" \h \z \u </w:instrText>
          </w:r>
          <w:r>
            <w:rPr>
              <w:rFonts w:hint="eastAsia"/>
            </w:rPr>
            <w:fldChar w:fldCharType="separate"/>
          </w:r>
          <w:r>
            <w:fldChar w:fldCharType="begin"/>
          </w:r>
          <w:r>
            <w:instrText xml:space="preserve"> HYPERLINK \l "_Toc90880533" </w:instrText>
          </w:r>
          <w:r>
            <w:fldChar w:fldCharType="separate"/>
          </w:r>
          <w:r>
            <w:rPr>
              <w:rStyle w:val="14"/>
              <w:rFonts w:hint="eastAsia"/>
            </w:rPr>
            <w:t>第一章  序 言</w:t>
          </w:r>
          <w:r>
            <w:rPr>
              <w:rFonts w:hint="eastAsia"/>
            </w:rPr>
            <w:tab/>
          </w:r>
          <w:r>
            <w:rPr>
              <w:rFonts w:hint="eastAsia"/>
            </w:rPr>
            <w:fldChar w:fldCharType="begin"/>
          </w:r>
          <w:r>
            <w:rPr>
              <w:rFonts w:hint="eastAsia"/>
            </w:rPr>
            <w:instrText xml:space="preserve"> PAGEREF _Toc90880533 \h </w:instrText>
          </w:r>
          <w:r>
            <w:rPr>
              <w:rFonts w:hint="eastAsia"/>
            </w:rPr>
            <w:fldChar w:fldCharType="separate"/>
          </w:r>
          <w:r>
            <w:t>1</w:t>
          </w:r>
          <w:r>
            <w:rPr>
              <w:rFonts w:hint="eastAsia"/>
            </w:rPr>
            <w:fldChar w:fldCharType="end"/>
          </w:r>
          <w:r>
            <w:rPr>
              <w:rFonts w:hint="eastAsia"/>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"_Toc90880534" </w:instrText>
          </w:r>
          <w:r>
            <w:fldChar w:fldCharType="separate"/>
          </w:r>
          <w:r>
            <w:rPr>
              <w:rStyle w:val="14"/>
              <w:rFonts w:hint="eastAsia" w:ascii="仿宋_GB2312" w:eastAsia="仿宋_GB2312"/>
              <w:sz w:val="32"/>
              <w:szCs w:val="32"/>
            </w:rPr>
            <w:t>一、编制目的</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_Toc90880534 \h </w:instrText>
          </w:r>
          <w:r>
            <w:rPr>
              <w:rFonts w:hint="eastAsia" w:ascii="仿宋_GB2312" w:eastAsia="仿宋_GB2312"/>
              <w:sz w:val="32"/>
              <w:szCs w:val="32"/>
            </w:rPr>
            <w:fldChar w:fldCharType="separate"/>
          </w:r>
          <w:r>
            <w:rPr>
              <w:rFonts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"_Toc90880535" </w:instrText>
          </w:r>
          <w:r>
            <w:fldChar w:fldCharType="separate"/>
          </w:r>
          <w:r>
            <w:rPr>
              <w:rStyle w:val="14"/>
              <w:rFonts w:hint="eastAsia" w:ascii="仿宋_GB2312" w:eastAsia="仿宋_GB2312"/>
              <w:sz w:val="32"/>
              <w:szCs w:val="32"/>
            </w:rPr>
            <w:t>二、规划对象</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_Toc90880535 \h </w:instrText>
          </w:r>
          <w:r>
            <w:rPr>
              <w:rFonts w:hint="eastAsia" w:ascii="仿宋_GB2312" w:eastAsia="仿宋_GB2312"/>
              <w:sz w:val="32"/>
              <w:szCs w:val="32"/>
            </w:rPr>
            <w:fldChar w:fldCharType="separate"/>
          </w:r>
          <w:r>
            <w:rPr>
              <w:rFonts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"_Toc90880536" </w:instrText>
          </w:r>
          <w:r>
            <w:fldChar w:fldCharType="separate"/>
          </w:r>
          <w:r>
            <w:rPr>
              <w:rStyle w:val="14"/>
              <w:rFonts w:hint="eastAsia" w:ascii="仿宋_GB2312" w:eastAsia="仿宋_GB2312"/>
              <w:sz w:val="32"/>
              <w:szCs w:val="32"/>
            </w:rPr>
            <w:t>三、规划依据</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_Toc90880536 \h </w:instrText>
          </w:r>
          <w:r>
            <w:rPr>
              <w:rFonts w:hint="eastAsia" w:ascii="仿宋_GB2312" w:eastAsia="仿宋_GB2312"/>
              <w:sz w:val="32"/>
              <w:szCs w:val="32"/>
            </w:rPr>
            <w:fldChar w:fldCharType="separate"/>
          </w:r>
          <w:r>
            <w:rPr>
              <w:rFonts w:ascii="仿宋_GB2312" w:eastAsia="仿宋_GB2312"/>
              <w:sz w:val="32"/>
              <w:szCs w:val="32"/>
            </w:rPr>
            <w:t>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"_Toc90880537" </w:instrText>
          </w:r>
          <w:r>
            <w:fldChar w:fldCharType="separate"/>
          </w:r>
          <w:r>
            <w:rPr>
              <w:rStyle w:val="14"/>
              <w:rFonts w:hint="eastAsia" w:ascii="仿宋_GB2312" w:eastAsia="仿宋_GB2312"/>
              <w:sz w:val="32"/>
              <w:szCs w:val="32"/>
            </w:rPr>
            <w:t>四、规划期限</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_Toc90880537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rPr>
              <w:rFonts w:hAnsiTheme="minorHAnsi" w:cstheme="minorBidi"/>
              <w:b w:val="0"/>
              <w:bCs w:val="0"/>
              <w:kern w:val="2"/>
            </w:rPr>
          </w:pPr>
          <w:r>
            <w:fldChar w:fldCharType="begin"/>
          </w:r>
          <w:r>
            <w:instrText xml:space="preserve"> HYPERLINK \l "_Toc90880538" </w:instrText>
          </w:r>
          <w:r>
            <w:fldChar w:fldCharType="separate"/>
          </w:r>
          <w:r>
            <w:rPr>
              <w:rStyle w:val="14"/>
              <w:rFonts w:hint="eastAsia"/>
            </w:rPr>
            <w:t>第二章 发展基础和发展形势</w:t>
          </w:r>
          <w:r>
            <w:rPr>
              <w:rFonts w:hint="eastAsia"/>
            </w:rPr>
            <w:tab/>
          </w:r>
          <w:r>
            <w:rPr>
              <w:rFonts w:hint="eastAsia"/>
            </w:rPr>
            <w:fldChar w:fldCharType="begin"/>
          </w:r>
          <w:r>
            <w:rPr>
              <w:rFonts w:hint="eastAsia"/>
            </w:rPr>
            <w:instrText xml:space="preserve"> PAGEREF _Toc90880538 \h </w:instrText>
          </w:r>
          <w:r>
            <w:rPr>
              <w:rFonts w:hint="eastAsia"/>
            </w:rPr>
            <w:fldChar w:fldCharType="separate"/>
          </w:r>
          <w:r>
            <w:t>4</w:t>
          </w:r>
          <w:r>
            <w:rPr>
              <w:rFonts w:hint="eastAsia"/>
            </w:rPr>
            <w:fldChar w:fldCharType="end"/>
          </w:r>
          <w:r>
            <w:rPr>
              <w:rFonts w:hint="eastAsia"/>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"_Toc90880539" </w:instrText>
          </w:r>
          <w:r>
            <w:fldChar w:fldCharType="separate"/>
          </w:r>
          <w:r>
            <w:rPr>
              <w:rStyle w:val="14"/>
              <w:rFonts w:hint="eastAsia" w:ascii="仿宋_GB2312" w:eastAsia="仿宋_GB2312"/>
              <w:sz w:val="32"/>
              <w:szCs w:val="32"/>
            </w:rPr>
            <w:t>一、发展基础</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_Toc90880539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"_Toc90880540" </w:instrText>
          </w:r>
          <w:r>
            <w:fldChar w:fldCharType="separate"/>
          </w:r>
          <w:r>
            <w:rPr>
              <w:rStyle w:val="14"/>
              <w:rFonts w:hint="eastAsia" w:ascii="仿宋_GB2312" w:eastAsia="仿宋_GB2312"/>
              <w:sz w:val="32"/>
              <w:szCs w:val="32"/>
            </w:rPr>
            <w:t>二、发展形势</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_Toc90880540 \h </w:instrText>
          </w:r>
          <w:r>
            <w:rPr>
              <w:rFonts w:hint="eastAsia" w:ascii="仿宋_GB2312" w:eastAsia="仿宋_GB2312"/>
              <w:sz w:val="32"/>
              <w:szCs w:val="32"/>
            </w:rPr>
            <w:fldChar w:fldCharType="separate"/>
          </w:r>
          <w:r>
            <w:rPr>
              <w:rFonts w:ascii="仿宋_GB2312" w:eastAsia="仿宋_GB2312"/>
              <w:sz w:val="32"/>
              <w:szCs w:val="32"/>
            </w:rPr>
            <w:t>10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rPr>
              <w:rFonts w:hAnsiTheme="minorHAnsi" w:cstheme="minorBidi"/>
              <w:b w:val="0"/>
              <w:bCs w:val="0"/>
              <w:kern w:val="2"/>
            </w:rPr>
          </w:pPr>
          <w:r>
            <w:fldChar w:fldCharType="begin"/>
          </w:r>
          <w:r>
            <w:instrText xml:space="preserve"> HYPERLINK \l "_Toc90880541" </w:instrText>
          </w:r>
          <w:r>
            <w:fldChar w:fldCharType="separate"/>
          </w:r>
          <w:r>
            <w:rPr>
              <w:rStyle w:val="14"/>
              <w:rFonts w:hint="eastAsia"/>
            </w:rPr>
            <w:t>第三章 指导思想和发展目标</w:t>
          </w:r>
          <w:r>
            <w:rPr>
              <w:rFonts w:hint="eastAsia"/>
            </w:rPr>
            <w:tab/>
          </w:r>
          <w:r>
            <w:rPr>
              <w:rFonts w:hint="eastAsia"/>
            </w:rPr>
            <w:fldChar w:fldCharType="begin"/>
          </w:r>
          <w:r>
            <w:rPr>
              <w:rFonts w:hint="eastAsia"/>
            </w:rPr>
            <w:instrText xml:space="preserve"> PAGEREF _Toc90880541 \h </w:instrText>
          </w:r>
          <w:r>
            <w:rPr>
              <w:rFonts w:hint="eastAsia"/>
            </w:rPr>
            <w:fldChar w:fldCharType="separate"/>
          </w:r>
          <w:r>
            <w:t>14</w:t>
          </w:r>
          <w:r>
            <w:rPr>
              <w:rFonts w:hint="eastAsia"/>
            </w:rPr>
            <w:fldChar w:fldCharType="end"/>
          </w:r>
          <w:r>
            <w:rPr>
              <w:rFonts w:hint="eastAsia"/>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"_Toc90880542" </w:instrText>
          </w:r>
          <w:r>
            <w:fldChar w:fldCharType="separate"/>
          </w:r>
          <w:r>
            <w:rPr>
              <w:rStyle w:val="14"/>
              <w:rFonts w:hint="eastAsia" w:ascii="仿宋_GB2312" w:eastAsia="仿宋_GB2312"/>
              <w:sz w:val="32"/>
              <w:szCs w:val="32"/>
            </w:rPr>
            <w:t>一、指导思想</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_Toc90880542 \h </w:instrText>
          </w:r>
          <w:r>
            <w:rPr>
              <w:rFonts w:hint="eastAsia" w:ascii="仿宋_GB2312" w:eastAsia="仿宋_GB2312"/>
              <w:sz w:val="32"/>
              <w:szCs w:val="32"/>
            </w:rPr>
            <w:fldChar w:fldCharType="separate"/>
          </w:r>
          <w:r>
            <w:rPr>
              <w:rFonts w:ascii="仿宋_GB2312" w:eastAsia="仿宋_GB2312"/>
              <w:sz w:val="32"/>
              <w:szCs w:val="32"/>
            </w:rPr>
            <w:t>14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"_Toc90880543" </w:instrText>
          </w:r>
          <w:r>
            <w:fldChar w:fldCharType="separate"/>
          </w:r>
          <w:r>
            <w:rPr>
              <w:rStyle w:val="14"/>
              <w:rFonts w:hint="eastAsia" w:ascii="仿宋_GB2312" w:eastAsia="仿宋_GB2312"/>
              <w:sz w:val="32"/>
              <w:szCs w:val="32"/>
            </w:rPr>
            <w:t>二、基本原则</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_Toc90880543 \h </w:instrText>
          </w:r>
          <w:r>
            <w:rPr>
              <w:rFonts w:hint="eastAsia" w:ascii="仿宋_GB2312" w:eastAsia="仿宋_GB2312"/>
              <w:sz w:val="32"/>
              <w:szCs w:val="32"/>
            </w:rPr>
            <w:fldChar w:fldCharType="separate"/>
          </w:r>
          <w:r>
            <w:rPr>
              <w:rFonts w:ascii="仿宋_GB2312" w:eastAsia="仿宋_GB2312"/>
              <w:sz w:val="32"/>
              <w:szCs w:val="32"/>
            </w:rPr>
            <w:t>14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"_Toc90880544" </w:instrText>
          </w:r>
          <w:r>
            <w:fldChar w:fldCharType="separate"/>
          </w:r>
          <w:r>
            <w:rPr>
              <w:rStyle w:val="14"/>
              <w:rFonts w:hint="eastAsia" w:ascii="仿宋_GB2312" w:eastAsia="仿宋_GB2312"/>
              <w:sz w:val="32"/>
              <w:szCs w:val="32"/>
            </w:rPr>
            <w:t>三、发展理念</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_Toc90880544 \h </w:instrText>
          </w:r>
          <w:r>
            <w:rPr>
              <w:rFonts w:hint="eastAsia" w:ascii="仿宋_GB2312" w:eastAsia="仿宋_GB2312"/>
              <w:sz w:val="32"/>
              <w:szCs w:val="32"/>
            </w:rPr>
            <w:fldChar w:fldCharType="separate"/>
          </w:r>
          <w:r>
            <w:rPr>
              <w:rFonts w:ascii="仿宋_GB2312" w:eastAsia="仿宋_GB2312"/>
              <w:sz w:val="32"/>
              <w:szCs w:val="32"/>
            </w:rPr>
            <w:t>15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"_Toc90880545" </w:instrText>
          </w:r>
          <w:r>
            <w:fldChar w:fldCharType="separate"/>
          </w:r>
          <w:r>
            <w:rPr>
              <w:rStyle w:val="14"/>
              <w:rFonts w:hint="eastAsia" w:ascii="仿宋_GB2312" w:eastAsia="仿宋_GB2312"/>
              <w:sz w:val="32"/>
              <w:szCs w:val="32"/>
            </w:rPr>
            <w:t>四、主要目标</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_Toc90880545 \h </w:instrText>
          </w:r>
          <w:r>
            <w:rPr>
              <w:rFonts w:hint="eastAsia" w:ascii="仿宋_GB2312" w:eastAsia="仿宋_GB2312"/>
              <w:sz w:val="32"/>
              <w:szCs w:val="32"/>
            </w:rPr>
            <w:fldChar w:fldCharType="separate"/>
          </w:r>
          <w:r>
            <w:rPr>
              <w:rFonts w:ascii="仿宋_GB2312" w:eastAsia="仿宋_GB2312"/>
              <w:sz w:val="32"/>
              <w:szCs w:val="32"/>
            </w:rPr>
            <w:t>17</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rPr>
              <w:rFonts w:hAnsiTheme="minorHAnsi" w:cstheme="minorBidi"/>
              <w:b w:val="0"/>
              <w:bCs w:val="0"/>
              <w:kern w:val="2"/>
            </w:rPr>
          </w:pPr>
          <w:r>
            <w:fldChar w:fldCharType="begin"/>
          </w:r>
          <w:r>
            <w:instrText xml:space="preserve"> HYPERLINK \l "_Toc90880546" </w:instrText>
          </w:r>
          <w:r>
            <w:fldChar w:fldCharType="separate"/>
          </w:r>
          <w:r>
            <w:rPr>
              <w:rStyle w:val="14"/>
              <w:rFonts w:hint="eastAsia"/>
            </w:rPr>
            <w:t>第四章 加强粮食宏观调控</w:t>
          </w:r>
          <w:r>
            <w:rPr>
              <w:rFonts w:hint="eastAsia"/>
            </w:rPr>
            <w:tab/>
          </w:r>
          <w:r>
            <w:rPr>
              <w:rFonts w:hint="eastAsia"/>
            </w:rPr>
            <w:fldChar w:fldCharType="begin"/>
          </w:r>
          <w:r>
            <w:rPr>
              <w:rFonts w:hint="eastAsia"/>
            </w:rPr>
            <w:instrText xml:space="preserve"> PAGEREF _Toc90880546 \h </w:instrText>
          </w:r>
          <w:r>
            <w:rPr>
              <w:rFonts w:hint="eastAsia"/>
            </w:rPr>
            <w:fldChar w:fldCharType="separate"/>
          </w:r>
          <w:r>
            <w:t>21</w:t>
          </w:r>
          <w:r>
            <w:rPr>
              <w:rFonts w:hint="eastAsia"/>
            </w:rPr>
            <w:fldChar w:fldCharType="end"/>
          </w:r>
          <w:r>
            <w:rPr>
              <w:rFonts w:hint="eastAsia"/>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"_Toc90880547" </w:instrText>
          </w:r>
          <w:r>
            <w:fldChar w:fldCharType="separate"/>
          </w:r>
          <w:r>
            <w:rPr>
              <w:rStyle w:val="14"/>
              <w:rFonts w:hint="eastAsia" w:ascii="仿宋_GB2312" w:eastAsia="仿宋_GB2312"/>
              <w:sz w:val="32"/>
              <w:szCs w:val="32"/>
            </w:rPr>
            <w:t>一、落实国家收购政策</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_Toc90880547 \h </w:instrText>
          </w:r>
          <w:r>
            <w:rPr>
              <w:rFonts w:hint="eastAsia" w:ascii="仿宋_GB2312" w:eastAsia="仿宋_GB2312"/>
              <w:sz w:val="32"/>
              <w:szCs w:val="32"/>
            </w:rPr>
            <w:fldChar w:fldCharType="separate"/>
          </w:r>
          <w:r>
            <w:rPr>
              <w:rFonts w:ascii="仿宋_GB2312" w:eastAsia="仿宋_GB2312"/>
              <w:sz w:val="32"/>
              <w:szCs w:val="32"/>
            </w:rPr>
            <w:t>21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"_Toc90880548" </w:instrText>
          </w:r>
          <w:r>
            <w:fldChar w:fldCharType="separate"/>
          </w:r>
          <w:r>
            <w:rPr>
              <w:rStyle w:val="14"/>
              <w:rFonts w:hint="eastAsia" w:ascii="仿宋_GB2312" w:eastAsia="仿宋_GB2312"/>
              <w:sz w:val="32"/>
              <w:szCs w:val="32"/>
            </w:rPr>
            <w:t>二、加强地方粮食储备</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_Toc90880548 \h </w:instrText>
          </w:r>
          <w:r>
            <w:rPr>
              <w:rFonts w:hint="eastAsia" w:ascii="仿宋_GB2312" w:eastAsia="仿宋_GB2312"/>
              <w:sz w:val="32"/>
              <w:szCs w:val="32"/>
            </w:rPr>
            <w:fldChar w:fldCharType="separate"/>
          </w:r>
          <w:r>
            <w:rPr>
              <w:rFonts w:ascii="仿宋_GB2312" w:eastAsia="仿宋_GB2312"/>
              <w:sz w:val="32"/>
              <w:szCs w:val="32"/>
            </w:rPr>
            <w:t>22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"_Toc90880549" </w:instrText>
          </w:r>
          <w:r>
            <w:fldChar w:fldCharType="separate"/>
          </w:r>
          <w:r>
            <w:rPr>
              <w:rStyle w:val="14"/>
              <w:rFonts w:hint="eastAsia" w:ascii="仿宋_GB2312" w:eastAsia="仿宋_GB2312"/>
              <w:sz w:val="32"/>
              <w:szCs w:val="32"/>
            </w:rPr>
            <w:t>三、强化粮食应急保供</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_Toc90880549 \h </w:instrText>
          </w:r>
          <w:r>
            <w:rPr>
              <w:rFonts w:hint="eastAsia" w:ascii="仿宋_GB2312" w:eastAsia="仿宋_GB2312"/>
              <w:sz w:val="32"/>
              <w:szCs w:val="32"/>
            </w:rPr>
            <w:fldChar w:fldCharType="separate"/>
          </w:r>
          <w:r>
            <w:rPr>
              <w:rFonts w:ascii="仿宋_GB2312" w:eastAsia="仿宋_GB2312"/>
              <w:sz w:val="32"/>
              <w:szCs w:val="32"/>
            </w:rPr>
            <w:t>22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"_Toc90880550" </w:instrText>
          </w:r>
          <w:r>
            <w:fldChar w:fldCharType="separate"/>
          </w:r>
          <w:r>
            <w:rPr>
              <w:rStyle w:val="14"/>
              <w:rFonts w:hint="eastAsia" w:ascii="仿宋_GB2312" w:eastAsia="仿宋_GB2312"/>
              <w:sz w:val="32"/>
              <w:szCs w:val="32"/>
            </w:rPr>
            <w:t>四、做好粮食价格监测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_Toc90880550 \h </w:instrText>
          </w:r>
          <w:r>
            <w:rPr>
              <w:rFonts w:hint="eastAsia" w:ascii="仿宋_GB2312" w:eastAsia="仿宋_GB2312"/>
              <w:sz w:val="32"/>
              <w:szCs w:val="32"/>
            </w:rPr>
            <w:fldChar w:fldCharType="separate"/>
          </w:r>
          <w:r>
            <w:rPr>
              <w:rFonts w:ascii="仿宋_GB2312" w:eastAsia="仿宋_GB2312"/>
              <w:sz w:val="32"/>
              <w:szCs w:val="32"/>
            </w:rPr>
            <w:t>23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"_Toc90880551" </w:instrText>
          </w:r>
          <w:r>
            <w:fldChar w:fldCharType="separate"/>
          </w:r>
          <w:r>
            <w:rPr>
              <w:rStyle w:val="14"/>
              <w:rFonts w:hint="eastAsia" w:ascii="仿宋_GB2312" w:eastAsia="仿宋_GB2312"/>
              <w:sz w:val="32"/>
              <w:szCs w:val="32"/>
            </w:rPr>
            <w:t>五、健全粮食市场体系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_Toc90880551 \h </w:instrText>
          </w:r>
          <w:r>
            <w:rPr>
              <w:rFonts w:hint="eastAsia" w:ascii="仿宋_GB2312" w:eastAsia="仿宋_GB2312"/>
              <w:sz w:val="32"/>
              <w:szCs w:val="32"/>
            </w:rPr>
            <w:fldChar w:fldCharType="separate"/>
          </w:r>
          <w:r>
            <w:rPr>
              <w:rFonts w:ascii="仿宋_GB2312" w:eastAsia="仿宋_GB2312"/>
              <w:sz w:val="32"/>
              <w:szCs w:val="32"/>
            </w:rPr>
            <w:t>24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rPr>
              <w:rFonts w:hAnsiTheme="minorHAnsi" w:cstheme="minorBidi"/>
              <w:b w:val="0"/>
              <w:bCs w:val="0"/>
              <w:kern w:val="2"/>
            </w:rPr>
          </w:pPr>
          <w:r>
            <w:fldChar w:fldCharType="begin"/>
          </w:r>
          <w:r>
            <w:instrText xml:space="preserve"> HYPERLINK \l "_Toc90880552" </w:instrText>
          </w:r>
          <w:r>
            <w:fldChar w:fldCharType="separate"/>
          </w:r>
          <w:r>
            <w:rPr>
              <w:rStyle w:val="14"/>
              <w:rFonts w:hint="eastAsia"/>
            </w:rPr>
            <w:t>第五章 发展粮食产业经济</w:t>
          </w:r>
          <w:r>
            <w:rPr>
              <w:rFonts w:hint="eastAsia"/>
            </w:rPr>
            <w:tab/>
          </w:r>
          <w:r>
            <w:rPr>
              <w:rFonts w:hint="eastAsia"/>
            </w:rPr>
            <w:fldChar w:fldCharType="begin"/>
          </w:r>
          <w:r>
            <w:rPr>
              <w:rFonts w:hint="eastAsia"/>
            </w:rPr>
            <w:instrText xml:space="preserve"> PAGEREF _Toc90880552 \h </w:instrText>
          </w:r>
          <w:r>
            <w:rPr>
              <w:rFonts w:hint="eastAsia"/>
            </w:rPr>
            <w:fldChar w:fldCharType="separate"/>
          </w:r>
          <w:r>
            <w:t>26</w:t>
          </w:r>
          <w:r>
            <w:rPr>
              <w:rFonts w:hint="eastAsia"/>
            </w:rPr>
            <w:fldChar w:fldCharType="end"/>
          </w:r>
          <w:r>
            <w:rPr>
              <w:rFonts w:hint="eastAsia"/>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"_Toc90880553" </w:instrText>
          </w:r>
          <w:r>
            <w:fldChar w:fldCharType="separate"/>
          </w:r>
          <w:r>
            <w:rPr>
              <w:rStyle w:val="14"/>
              <w:rFonts w:hint="eastAsia" w:ascii="仿宋_GB2312" w:eastAsia="仿宋_GB2312"/>
              <w:sz w:val="32"/>
              <w:szCs w:val="32"/>
            </w:rPr>
            <w:t>一、粮食产品供给优化</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_Toc90880553 \h </w:instrText>
          </w:r>
          <w:r>
            <w:rPr>
              <w:rFonts w:hint="eastAsia" w:ascii="仿宋_GB2312" w:eastAsia="仿宋_GB2312"/>
              <w:sz w:val="32"/>
              <w:szCs w:val="32"/>
            </w:rPr>
            <w:fldChar w:fldCharType="separate"/>
          </w:r>
          <w:r>
            <w:rPr>
              <w:rFonts w:ascii="仿宋_GB2312" w:eastAsia="仿宋_GB2312"/>
              <w:sz w:val="32"/>
              <w:szCs w:val="32"/>
            </w:rPr>
            <w:t>26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"_Toc90880554" </w:instrText>
          </w:r>
          <w:r>
            <w:fldChar w:fldCharType="separate"/>
          </w:r>
          <w:r>
            <w:rPr>
              <w:rStyle w:val="14"/>
              <w:rFonts w:hint="eastAsia" w:ascii="仿宋_GB2312" w:eastAsia="仿宋_GB2312"/>
              <w:sz w:val="32"/>
              <w:szCs w:val="32"/>
            </w:rPr>
            <w:t>二、粮食企业培育壮大</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_Toc90880554 \h </w:instrText>
          </w:r>
          <w:r>
            <w:rPr>
              <w:rFonts w:hint="eastAsia" w:ascii="仿宋_GB2312" w:eastAsia="仿宋_GB2312"/>
              <w:sz w:val="32"/>
              <w:szCs w:val="32"/>
            </w:rPr>
            <w:fldChar w:fldCharType="separate"/>
          </w:r>
          <w:r>
            <w:rPr>
              <w:rFonts w:ascii="仿宋_GB2312" w:eastAsia="仿宋_GB2312"/>
              <w:sz w:val="32"/>
              <w:szCs w:val="32"/>
            </w:rPr>
            <w:t>27</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"_Toc90880555" </w:instrText>
          </w:r>
          <w:r>
            <w:fldChar w:fldCharType="separate"/>
          </w:r>
          <w:r>
            <w:rPr>
              <w:rStyle w:val="14"/>
              <w:rFonts w:hint="eastAsia" w:ascii="仿宋_GB2312" w:eastAsia="仿宋_GB2312"/>
              <w:sz w:val="32"/>
              <w:szCs w:val="32"/>
            </w:rPr>
            <w:t>三、粮食园区优化发展</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_Toc90880555 \h </w:instrText>
          </w:r>
          <w:r>
            <w:rPr>
              <w:rFonts w:hint="eastAsia" w:ascii="仿宋_GB2312" w:eastAsia="仿宋_GB2312"/>
              <w:sz w:val="32"/>
              <w:szCs w:val="32"/>
            </w:rPr>
            <w:fldChar w:fldCharType="separate"/>
          </w:r>
          <w:r>
            <w:rPr>
              <w:rFonts w:ascii="仿宋_GB2312" w:eastAsia="仿宋_GB2312"/>
              <w:sz w:val="32"/>
              <w:szCs w:val="32"/>
            </w:rPr>
            <w:t>28</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"_Toc90880556" </w:instrText>
          </w:r>
          <w:r>
            <w:fldChar w:fldCharType="separate"/>
          </w:r>
          <w:r>
            <w:rPr>
              <w:rStyle w:val="14"/>
              <w:rFonts w:hint="eastAsia" w:ascii="仿宋_GB2312" w:eastAsia="仿宋_GB2312"/>
              <w:sz w:val="32"/>
              <w:szCs w:val="32"/>
            </w:rPr>
            <w:t>四、粮油品牌培育提升</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_Toc90880556 \h </w:instrText>
          </w:r>
          <w:r>
            <w:rPr>
              <w:rFonts w:hint="eastAsia" w:ascii="仿宋_GB2312" w:eastAsia="仿宋_GB2312"/>
              <w:sz w:val="32"/>
              <w:szCs w:val="32"/>
            </w:rPr>
            <w:fldChar w:fldCharType="separate"/>
          </w:r>
          <w:r>
            <w:rPr>
              <w:rFonts w:ascii="仿宋_GB2312" w:eastAsia="仿宋_GB2312"/>
              <w:sz w:val="32"/>
              <w:szCs w:val="32"/>
            </w:rPr>
            <w:t>29</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"_Toc90880557" </w:instrText>
          </w:r>
          <w:r>
            <w:fldChar w:fldCharType="separate"/>
          </w:r>
          <w:r>
            <w:rPr>
              <w:rStyle w:val="14"/>
              <w:rFonts w:hint="eastAsia" w:ascii="仿宋_GB2312" w:eastAsia="仿宋_GB2312"/>
              <w:sz w:val="32"/>
              <w:szCs w:val="32"/>
            </w:rPr>
            <w:t>五、粮食产业转型升级</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_Toc90880557 \h </w:instrText>
          </w:r>
          <w:r>
            <w:rPr>
              <w:rFonts w:hint="eastAsia" w:ascii="仿宋_GB2312" w:eastAsia="仿宋_GB2312"/>
              <w:sz w:val="32"/>
              <w:szCs w:val="32"/>
            </w:rPr>
            <w:fldChar w:fldCharType="separate"/>
          </w:r>
          <w:r>
            <w:rPr>
              <w:rFonts w:ascii="仿宋_GB2312" w:eastAsia="仿宋_GB2312"/>
              <w:sz w:val="32"/>
              <w:szCs w:val="32"/>
            </w:rPr>
            <w:t>30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rPr>
              <w:rFonts w:hAnsiTheme="minorHAnsi" w:cstheme="minorBidi"/>
              <w:b w:val="0"/>
              <w:bCs w:val="0"/>
              <w:kern w:val="2"/>
            </w:rPr>
          </w:pPr>
          <w:r>
            <w:fldChar w:fldCharType="begin"/>
          </w:r>
          <w:r>
            <w:instrText xml:space="preserve"> HYPERLINK \l "_Toc90880558" </w:instrText>
          </w:r>
          <w:r>
            <w:fldChar w:fldCharType="separate"/>
          </w:r>
          <w:r>
            <w:rPr>
              <w:rStyle w:val="14"/>
              <w:rFonts w:hint="eastAsia"/>
            </w:rPr>
            <w:t>第六章 提升粮食仓储物流水平</w:t>
          </w:r>
          <w:r>
            <w:rPr>
              <w:rFonts w:hint="eastAsia"/>
            </w:rPr>
            <w:tab/>
          </w:r>
          <w:r>
            <w:rPr>
              <w:rFonts w:hint="eastAsia"/>
            </w:rPr>
            <w:fldChar w:fldCharType="begin"/>
          </w:r>
          <w:r>
            <w:rPr>
              <w:rFonts w:hint="eastAsia"/>
            </w:rPr>
            <w:instrText xml:space="preserve"> PAGEREF _Toc90880558 \h </w:instrText>
          </w:r>
          <w:r>
            <w:rPr>
              <w:rFonts w:hint="eastAsia"/>
            </w:rPr>
            <w:fldChar w:fldCharType="separate"/>
          </w:r>
          <w:r>
            <w:t>33</w:t>
          </w:r>
          <w:r>
            <w:rPr>
              <w:rFonts w:hint="eastAsia"/>
            </w:rPr>
            <w:fldChar w:fldCharType="end"/>
          </w:r>
          <w:r>
            <w:rPr>
              <w:rFonts w:hint="eastAsia"/>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"_Toc90880559" </w:instrText>
          </w:r>
          <w:r>
            <w:fldChar w:fldCharType="separate"/>
          </w:r>
          <w:r>
            <w:rPr>
              <w:rStyle w:val="14"/>
              <w:rFonts w:hint="eastAsia" w:ascii="仿宋_GB2312" w:eastAsia="仿宋_GB2312"/>
              <w:sz w:val="32"/>
              <w:szCs w:val="32"/>
            </w:rPr>
            <w:t>一、粮食物流体系建设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_Toc90880559 \h </w:instrText>
          </w:r>
          <w:r>
            <w:rPr>
              <w:rFonts w:hint="eastAsia" w:ascii="仿宋_GB2312" w:eastAsia="仿宋_GB2312"/>
              <w:sz w:val="32"/>
              <w:szCs w:val="32"/>
            </w:rPr>
            <w:fldChar w:fldCharType="separate"/>
          </w:r>
          <w:r>
            <w:rPr>
              <w:rFonts w:ascii="仿宋_GB2312" w:eastAsia="仿宋_GB2312"/>
              <w:sz w:val="32"/>
              <w:szCs w:val="32"/>
            </w:rPr>
            <w:t>33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"_Toc90880560" </w:instrText>
          </w:r>
          <w:r>
            <w:fldChar w:fldCharType="separate"/>
          </w:r>
          <w:r>
            <w:rPr>
              <w:rStyle w:val="14"/>
              <w:rFonts w:hint="eastAsia" w:ascii="仿宋_GB2312" w:eastAsia="仿宋_GB2312"/>
              <w:sz w:val="32"/>
              <w:szCs w:val="32"/>
            </w:rPr>
            <w:t>二、粮库规划布局和建设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_Toc90880560 \h </w:instrText>
          </w:r>
          <w:r>
            <w:rPr>
              <w:rFonts w:hint="eastAsia" w:ascii="仿宋_GB2312" w:eastAsia="仿宋_GB2312"/>
              <w:sz w:val="32"/>
              <w:szCs w:val="32"/>
            </w:rPr>
            <w:fldChar w:fldCharType="separate"/>
          </w:r>
          <w:r>
            <w:rPr>
              <w:rFonts w:ascii="仿宋_GB2312" w:eastAsia="仿宋_GB2312"/>
              <w:sz w:val="32"/>
              <w:szCs w:val="32"/>
            </w:rPr>
            <w:t>34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"_Toc90880561" </w:instrText>
          </w:r>
          <w:r>
            <w:fldChar w:fldCharType="separate"/>
          </w:r>
          <w:r>
            <w:rPr>
              <w:rStyle w:val="14"/>
              <w:rFonts w:hint="eastAsia" w:ascii="仿宋_GB2312" w:eastAsia="仿宋_GB2312"/>
              <w:sz w:val="32"/>
              <w:szCs w:val="32"/>
            </w:rPr>
            <w:t>三、粮食产后服务体系建设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_Toc90880561 \h </w:instrText>
          </w:r>
          <w:r>
            <w:rPr>
              <w:rFonts w:hint="eastAsia" w:ascii="仿宋_GB2312" w:eastAsia="仿宋_GB2312"/>
              <w:sz w:val="32"/>
              <w:szCs w:val="32"/>
            </w:rPr>
            <w:fldChar w:fldCharType="separate"/>
          </w:r>
          <w:r>
            <w:rPr>
              <w:rFonts w:ascii="仿宋_GB2312" w:eastAsia="仿宋_GB2312"/>
              <w:sz w:val="32"/>
              <w:szCs w:val="32"/>
            </w:rPr>
            <w:t>35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"_Toc90880562" </w:instrText>
          </w:r>
          <w:r>
            <w:fldChar w:fldCharType="separate"/>
          </w:r>
          <w:r>
            <w:rPr>
              <w:rStyle w:val="14"/>
              <w:rFonts w:hint="eastAsia" w:ascii="仿宋_GB2312" w:eastAsia="仿宋_GB2312"/>
              <w:sz w:val="32"/>
              <w:szCs w:val="32"/>
            </w:rPr>
            <w:t>四、推进绿色生态储粮</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_Toc90880562 \h </w:instrText>
          </w:r>
          <w:r>
            <w:rPr>
              <w:rFonts w:hint="eastAsia" w:ascii="仿宋_GB2312" w:eastAsia="仿宋_GB2312"/>
              <w:sz w:val="32"/>
              <w:szCs w:val="32"/>
            </w:rPr>
            <w:fldChar w:fldCharType="separate"/>
          </w:r>
          <w:r>
            <w:rPr>
              <w:rFonts w:ascii="仿宋_GB2312" w:eastAsia="仿宋_GB2312"/>
              <w:sz w:val="32"/>
              <w:szCs w:val="32"/>
            </w:rPr>
            <w:t>36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rPr>
              <w:rFonts w:hAnsiTheme="minorHAnsi" w:cstheme="minorBidi"/>
              <w:b w:val="0"/>
              <w:bCs w:val="0"/>
              <w:kern w:val="2"/>
            </w:rPr>
          </w:pPr>
          <w:r>
            <w:fldChar w:fldCharType="begin"/>
          </w:r>
          <w:r>
            <w:instrText xml:space="preserve"> HYPERLINK \l "_Toc90880563" </w:instrText>
          </w:r>
          <w:r>
            <w:fldChar w:fldCharType="separate"/>
          </w:r>
          <w:r>
            <w:rPr>
              <w:rStyle w:val="14"/>
              <w:rFonts w:hint="eastAsia"/>
            </w:rPr>
            <w:t>第七章 增强军粮供应保障能力</w:t>
          </w:r>
          <w:r>
            <w:rPr>
              <w:rFonts w:hint="eastAsia"/>
            </w:rPr>
            <w:tab/>
          </w:r>
          <w:r>
            <w:rPr>
              <w:rFonts w:hint="eastAsia"/>
            </w:rPr>
            <w:fldChar w:fldCharType="begin"/>
          </w:r>
          <w:r>
            <w:rPr>
              <w:rFonts w:hint="eastAsia"/>
            </w:rPr>
            <w:instrText xml:space="preserve"> PAGEREF _Toc90880563 \h </w:instrText>
          </w:r>
          <w:r>
            <w:rPr>
              <w:rFonts w:hint="eastAsia"/>
            </w:rPr>
            <w:fldChar w:fldCharType="separate"/>
          </w:r>
          <w:r>
            <w:t>38</w:t>
          </w:r>
          <w:r>
            <w:rPr>
              <w:rFonts w:hint="eastAsia"/>
            </w:rPr>
            <w:fldChar w:fldCharType="end"/>
          </w:r>
          <w:r>
            <w:rPr>
              <w:rFonts w:hint="eastAsia"/>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"_Toc90880564" </w:instrText>
          </w:r>
          <w:r>
            <w:fldChar w:fldCharType="separate"/>
          </w:r>
          <w:r>
            <w:rPr>
              <w:rStyle w:val="14"/>
              <w:rFonts w:hint="eastAsia" w:ascii="仿宋_GB2312" w:eastAsia="仿宋_GB2312"/>
              <w:sz w:val="32"/>
              <w:szCs w:val="32"/>
            </w:rPr>
            <w:t>一、完善军粮供应保障体系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_Toc90880564 \h </w:instrText>
          </w:r>
          <w:r>
            <w:rPr>
              <w:rFonts w:hint="eastAsia" w:ascii="仿宋_GB2312" w:eastAsia="仿宋_GB2312"/>
              <w:sz w:val="32"/>
              <w:szCs w:val="32"/>
            </w:rPr>
            <w:fldChar w:fldCharType="separate"/>
          </w:r>
          <w:r>
            <w:rPr>
              <w:rFonts w:ascii="仿宋_GB2312" w:eastAsia="仿宋_GB2312"/>
              <w:sz w:val="32"/>
              <w:szCs w:val="32"/>
            </w:rPr>
            <w:t>38</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"_Toc90880565" </w:instrText>
          </w:r>
          <w:r>
            <w:fldChar w:fldCharType="separate"/>
          </w:r>
          <w:r>
            <w:rPr>
              <w:rStyle w:val="14"/>
              <w:rFonts w:hint="eastAsia" w:ascii="仿宋_GB2312" w:eastAsia="仿宋_GB2312"/>
              <w:sz w:val="32"/>
              <w:szCs w:val="32"/>
            </w:rPr>
            <w:t>二、提升军粮机动保障能力</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_Toc90880565 \h </w:instrText>
          </w:r>
          <w:r>
            <w:rPr>
              <w:rFonts w:hint="eastAsia" w:ascii="仿宋_GB2312" w:eastAsia="仿宋_GB2312"/>
              <w:sz w:val="32"/>
              <w:szCs w:val="32"/>
            </w:rPr>
            <w:fldChar w:fldCharType="separate"/>
          </w:r>
          <w:r>
            <w:rPr>
              <w:rFonts w:ascii="仿宋_GB2312" w:eastAsia="仿宋_GB2312"/>
              <w:sz w:val="32"/>
              <w:szCs w:val="32"/>
            </w:rPr>
            <w:t>39</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"_Toc90880566" </w:instrText>
          </w:r>
          <w:r>
            <w:fldChar w:fldCharType="separate"/>
          </w:r>
          <w:r>
            <w:rPr>
              <w:rStyle w:val="14"/>
              <w:rFonts w:hint="eastAsia" w:ascii="仿宋_GB2312" w:eastAsia="仿宋_GB2312"/>
              <w:sz w:val="32"/>
              <w:szCs w:val="32"/>
            </w:rPr>
            <w:t>三、推动军民深度融合发展</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_Toc90880566 \h </w:instrText>
          </w:r>
          <w:r>
            <w:rPr>
              <w:rFonts w:hint="eastAsia" w:ascii="仿宋_GB2312" w:eastAsia="仿宋_GB2312"/>
              <w:sz w:val="32"/>
              <w:szCs w:val="32"/>
            </w:rPr>
            <w:fldChar w:fldCharType="separate"/>
          </w:r>
          <w:r>
            <w:rPr>
              <w:rFonts w:ascii="仿宋_GB2312" w:eastAsia="仿宋_GB2312"/>
              <w:sz w:val="32"/>
              <w:szCs w:val="32"/>
            </w:rPr>
            <w:t>40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rPr>
              <w:rFonts w:hAnsiTheme="minorHAnsi" w:cstheme="minorBidi"/>
              <w:b w:val="0"/>
              <w:bCs w:val="0"/>
              <w:kern w:val="2"/>
            </w:rPr>
          </w:pPr>
          <w:r>
            <w:fldChar w:fldCharType="begin"/>
          </w:r>
          <w:r>
            <w:instrText xml:space="preserve"> HYPERLINK \l "_Toc90880567" </w:instrText>
          </w:r>
          <w:r>
            <w:fldChar w:fldCharType="separate"/>
          </w:r>
          <w:r>
            <w:rPr>
              <w:rStyle w:val="14"/>
              <w:rFonts w:hint="eastAsia"/>
            </w:rPr>
            <w:t>第八章 加强物资储备保障建设</w:t>
          </w:r>
          <w:r>
            <w:rPr>
              <w:rFonts w:hint="eastAsia"/>
            </w:rPr>
            <w:tab/>
          </w:r>
          <w:r>
            <w:rPr>
              <w:rFonts w:hint="eastAsia"/>
            </w:rPr>
            <w:fldChar w:fldCharType="begin"/>
          </w:r>
          <w:r>
            <w:rPr>
              <w:rFonts w:hint="eastAsia"/>
            </w:rPr>
            <w:instrText xml:space="preserve"> PAGEREF _Toc90880567 \h </w:instrText>
          </w:r>
          <w:r>
            <w:rPr>
              <w:rFonts w:hint="eastAsia"/>
            </w:rPr>
            <w:fldChar w:fldCharType="separate"/>
          </w:r>
          <w:r>
            <w:t>42</w:t>
          </w:r>
          <w:r>
            <w:rPr>
              <w:rFonts w:hint="eastAsia"/>
            </w:rPr>
            <w:fldChar w:fldCharType="end"/>
          </w:r>
          <w:r>
            <w:rPr>
              <w:rFonts w:hint="eastAsia"/>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"_Toc90880568" </w:instrText>
          </w:r>
          <w:r>
            <w:fldChar w:fldCharType="separate"/>
          </w:r>
          <w:r>
            <w:rPr>
              <w:rStyle w:val="14"/>
              <w:rFonts w:hint="eastAsia" w:ascii="仿宋_GB2312" w:eastAsia="仿宋_GB2312"/>
              <w:sz w:val="32"/>
              <w:szCs w:val="32"/>
            </w:rPr>
            <w:t>一、建立健全物资储备网络体系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_Toc90880568 \h </w:instrText>
          </w:r>
          <w:r>
            <w:rPr>
              <w:rFonts w:hint="eastAsia" w:ascii="仿宋_GB2312" w:eastAsia="仿宋_GB2312"/>
              <w:sz w:val="32"/>
              <w:szCs w:val="32"/>
            </w:rPr>
            <w:fldChar w:fldCharType="separate"/>
          </w:r>
          <w:r>
            <w:rPr>
              <w:rFonts w:ascii="仿宋_GB2312" w:eastAsia="仿宋_GB2312"/>
              <w:sz w:val="32"/>
              <w:szCs w:val="32"/>
            </w:rPr>
            <w:t>42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"_Toc90880569" </w:instrText>
          </w:r>
          <w:r>
            <w:fldChar w:fldCharType="separate"/>
          </w:r>
          <w:r>
            <w:rPr>
              <w:rStyle w:val="14"/>
              <w:rFonts w:hint="eastAsia" w:ascii="仿宋_GB2312" w:eastAsia="仿宋_GB2312"/>
              <w:sz w:val="32"/>
              <w:szCs w:val="32"/>
            </w:rPr>
            <w:t>二、科学落实市县物资储备规模</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_Toc90880569 \h </w:instrText>
          </w:r>
          <w:r>
            <w:rPr>
              <w:rFonts w:hint="eastAsia" w:ascii="仿宋_GB2312" w:eastAsia="仿宋_GB2312"/>
              <w:sz w:val="32"/>
              <w:szCs w:val="32"/>
            </w:rPr>
            <w:fldChar w:fldCharType="separate"/>
          </w:r>
          <w:r>
            <w:rPr>
              <w:rFonts w:ascii="仿宋_GB2312" w:eastAsia="仿宋_GB2312"/>
              <w:sz w:val="32"/>
              <w:szCs w:val="32"/>
            </w:rPr>
            <w:t>42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"_Toc90880570" </w:instrText>
          </w:r>
          <w:r>
            <w:fldChar w:fldCharType="separate"/>
          </w:r>
          <w:r>
            <w:rPr>
              <w:rStyle w:val="14"/>
              <w:rFonts w:hint="eastAsia" w:ascii="仿宋_GB2312" w:eastAsia="仿宋_GB2312"/>
              <w:sz w:val="32"/>
              <w:szCs w:val="32"/>
            </w:rPr>
            <w:t>三、推进完善物资储备联动机制</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_Toc90880570 \h </w:instrText>
          </w:r>
          <w:r>
            <w:rPr>
              <w:rFonts w:hint="eastAsia" w:ascii="仿宋_GB2312" w:eastAsia="仿宋_GB2312"/>
              <w:sz w:val="32"/>
              <w:szCs w:val="32"/>
            </w:rPr>
            <w:fldChar w:fldCharType="separate"/>
          </w:r>
          <w:r>
            <w:rPr>
              <w:rFonts w:ascii="仿宋_GB2312" w:eastAsia="仿宋_GB2312"/>
              <w:sz w:val="32"/>
              <w:szCs w:val="32"/>
            </w:rPr>
            <w:t>43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"_Toc90880571" </w:instrText>
          </w:r>
          <w:r>
            <w:fldChar w:fldCharType="separate"/>
          </w:r>
          <w:r>
            <w:rPr>
              <w:rStyle w:val="14"/>
              <w:rFonts w:hint="eastAsia" w:ascii="仿宋_GB2312" w:eastAsia="仿宋_GB2312"/>
              <w:sz w:val="32"/>
              <w:szCs w:val="32"/>
            </w:rPr>
            <w:t>四、搭建高效物资储备信息平台</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_Toc90880571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"_Toc90880572" </w:instrText>
          </w:r>
          <w:r>
            <w:fldChar w:fldCharType="separate"/>
          </w:r>
          <w:r>
            <w:rPr>
              <w:rStyle w:val="14"/>
              <w:rFonts w:hint="eastAsia" w:ascii="仿宋_GB2312" w:eastAsia="仿宋_GB2312"/>
              <w:sz w:val="32"/>
              <w:szCs w:val="32"/>
            </w:rPr>
            <w:t>五、完善应急救灾物资储备管理</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_Toc90880572 \h </w:instrText>
          </w:r>
          <w:r>
            <w:rPr>
              <w:rFonts w:hint="eastAsia" w:ascii="仿宋_GB2312" w:eastAsia="仿宋_GB2312"/>
              <w:sz w:val="32"/>
              <w:szCs w:val="32"/>
            </w:rPr>
            <w:fldChar w:fldCharType="separate"/>
          </w:r>
          <w:r>
            <w:rPr>
              <w:rFonts w:ascii="仿宋_GB2312" w:eastAsia="仿宋_GB2312"/>
              <w:sz w:val="32"/>
              <w:szCs w:val="32"/>
            </w:rPr>
            <w:t>45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rPr>
              <w:rFonts w:hAnsiTheme="minorHAnsi" w:cstheme="minorBidi"/>
              <w:b w:val="0"/>
              <w:bCs w:val="0"/>
              <w:kern w:val="2"/>
            </w:rPr>
          </w:pPr>
          <w:r>
            <w:fldChar w:fldCharType="begin"/>
          </w:r>
          <w:r>
            <w:instrText xml:space="preserve"> HYPERLINK \l "_Toc90880573" </w:instrText>
          </w:r>
          <w:r>
            <w:fldChar w:fldCharType="separate"/>
          </w:r>
          <w:r>
            <w:rPr>
              <w:rStyle w:val="14"/>
              <w:rFonts w:hint="eastAsia"/>
            </w:rPr>
            <w:t>第九章 推进治理能力现代化建设</w:t>
          </w:r>
          <w:r>
            <w:rPr>
              <w:rFonts w:hint="eastAsia"/>
            </w:rPr>
            <w:tab/>
          </w:r>
          <w:r>
            <w:rPr>
              <w:rFonts w:hint="eastAsia"/>
            </w:rPr>
            <w:fldChar w:fldCharType="begin"/>
          </w:r>
          <w:r>
            <w:rPr>
              <w:rFonts w:hint="eastAsia"/>
            </w:rPr>
            <w:instrText xml:space="preserve"> PAGEREF _Toc90880573 \h </w:instrText>
          </w:r>
          <w:r>
            <w:rPr>
              <w:rFonts w:hint="eastAsia"/>
            </w:rPr>
            <w:fldChar w:fldCharType="separate"/>
          </w:r>
          <w:r>
            <w:t>47</w:t>
          </w:r>
          <w:r>
            <w:rPr>
              <w:rFonts w:hint="eastAsia"/>
            </w:rPr>
            <w:fldChar w:fldCharType="end"/>
          </w:r>
          <w:r>
            <w:rPr>
              <w:rFonts w:hint="eastAsia"/>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"_Toc90880574" </w:instrText>
          </w:r>
          <w:r>
            <w:fldChar w:fldCharType="separate"/>
          </w:r>
          <w:r>
            <w:rPr>
              <w:rStyle w:val="14"/>
              <w:rFonts w:hint="eastAsia" w:ascii="仿宋_GB2312" w:eastAsia="仿宋_GB2312"/>
              <w:sz w:val="32"/>
              <w:szCs w:val="32"/>
            </w:rPr>
            <w:t>一、着力健全完善体制机制</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_Toc90880574 \h </w:instrText>
          </w:r>
          <w:r>
            <w:rPr>
              <w:rFonts w:hint="eastAsia" w:ascii="仿宋_GB2312" w:eastAsia="仿宋_GB2312"/>
              <w:sz w:val="32"/>
              <w:szCs w:val="32"/>
            </w:rPr>
            <w:fldChar w:fldCharType="separate"/>
          </w:r>
          <w:r>
            <w:rPr>
              <w:rFonts w:ascii="仿宋_GB2312" w:eastAsia="仿宋_GB2312"/>
              <w:sz w:val="32"/>
              <w:szCs w:val="32"/>
            </w:rPr>
            <w:t>47</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"_Toc90880575" </w:instrText>
          </w:r>
          <w:r>
            <w:fldChar w:fldCharType="separate"/>
          </w:r>
          <w:r>
            <w:rPr>
              <w:rStyle w:val="14"/>
              <w:rFonts w:hint="eastAsia" w:ascii="仿宋_GB2312" w:eastAsia="仿宋_GB2312"/>
              <w:sz w:val="32"/>
              <w:szCs w:val="32"/>
            </w:rPr>
            <w:t>二、全面推进依法管粮管储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_Toc90880575 \h </w:instrText>
          </w:r>
          <w:r>
            <w:rPr>
              <w:rFonts w:hint="eastAsia" w:ascii="仿宋_GB2312" w:eastAsia="仿宋_GB2312"/>
              <w:sz w:val="32"/>
              <w:szCs w:val="32"/>
            </w:rPr>
            <w:fldChar w:fldCharType="separate"/>
          </w:r>
          <w:r>
            <w:rPr>
              <w:rFonts w:ascii="仿宋_GB2312" w:eastAsia="仿宋_GB2312"/>
              <w:sz w:val="32"/>
              <w:szCs w:val="32"/>
            </w:rPr>
            <w:t>48</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"_Toc90880576" </w:instrText>
          </w:r>
          <w:r>
            <w:fldChar w:fldCharType="separate"/>
          </w:r>
          <w:r>
            <w:rPr>
              <w:rStyle w:val="14"/>
              <w:rFonts w:hint="eastAsia" w:ascii="仿宋_GB2312" w:eastAsia="仿宋_GB2312"/>
              <w:sz w:val="32"/>
              <w:szCs w:val="32"/>
            </w:rPr>
            <w:t>三、大力促进粮食节约减损</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_Toc90880576 \h </w:instrText>
          </w:r>
          <w:r>
            <w:rPr>
              <w:rFonts w:hint="eastAsia" w:ascii="仿宋_GB2312" w:eastAsia="仿宋_GB2312"/>
              <w:sz w:val="32"/>
              <w:szCs w:val="32"/>
            </w:rPr>
            <w:fldChar w:fldCharType="separate"/>
          </w:r>
          <w:r>
            <w:rPr>
              <w:rFonts w:ascii="仿宋_GB2312" w:eastAsia="仿宋_GB2312"/>
              <w:sz w:val="32"/>
              <w:szCs w:val="32"/>
            </w:rPr>
            <w:t>50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"_Toc90880577" </w:instrText>
          </w:r>
          <w:r>
            <w:fldChar w:fldCharType="separate"/>
          </w:r>
          <w:r>
            <w:rPr>
              <w:rStyle w:val="14"/>
              <w:rFonts w:hint="eastAsia" w:ascii="仿宋_GB2312" w:eastAsia="仿宋_GB2312"/>
              <w:sz w:val="32"/>
              <w:szCs w:val="32"/>
            </w:rPr>
            <w:t>四、推进粮食行业信用体系建设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_Toc90880577 \h </w:instrText>
          </w:r>
          <w:r>
            <w:rPr>
              <w:rFonts w:hint="eastAsia" w:ascii="仿宋_GB2312" w:eastAsia="仿宋_GB2312"/>
              <w:sz w:val="32"/>
              <w:szCs w:val="32"/>
            </w:rPr>
            <w:fldChar w:fldCharType="separate"/>
          </w:r>
          <w:r>
            <w:rPr>
              <w:rFonts w:ascii="仿宋_GB2312" w:eastAsia="仿宋_GB2312"/>
              <w:sz w:val="32"/>
              <w:szCs w:val="32"/>
            </w:rPr>
            <w:t>51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rPr>
              <w:rFonts w:hAnsiTheme="minorHAnsi" w:cstheme="minorBidi"/>
              <w:b w:val="0"/>
              <w:bCs w:val="0"/>
              <w:kern w:val="2"/>
            </w:rPr>
          </w:pPr>
          <w:r>
            <w:fldChar w:fldCharType="begin"/>
          </w:r>
          <w:r>
            <w:instrText xml:space="preserve"> HYPERLINK \l "_Toc90880578" </w:instrText>
          </w:r>
          <w:r>
            <w:fldChar w:fldCharType="separate"/>
          </w:r>
          <w:r>
            <w:rPr>
              <w:rStyle w:val="14"/>
              <w:rFonts w:hint="eastAsia"/>
            </w:rPr>
            <w:t>第十章 加快科技创新和信息化建设</w:t>
          </w:r>
          <w:r>
            <w:rPr>
              <w:rFonts w:hint="eastAsia"/>
            </w:rPr>
            <w:tab/>
          </w:r>
          <w:r>
            <w:rPr>
              <w:rFonts w:hint="eastAsia"/>
            </w:rPr>
            <w:fldChar w:fldCharType="begin"/>
          </w:r>
          <w:r>
            <w:rPr>
              <w:rFonts w:hint="eastAsia"/>
            </w:rPr>
            <w:instrText xml:space="preserve"> PAGEREF _Toc90880578 \h </w:instrText>
          </w:r>
          <w:r>
            <w:rPr>
              <w:rFonts w:hint="eastAsia"/>
            </w:rPr>
            <w:fldChar w:fldCharType="separate"/>
          </w:r>
          <w:r>
            <w:t>53</w:t>
          </w:r>
          <w:r>
            <w:rPr>
              <w:rFonts w:hint="eastAsia"/>
            </w:rPr>
            <w:fldChar w:fldCharType="end"/>
          </w:r>
          <w:r>
            <w:rPr>
              <w:rFonts w:hint="eastAsia"/>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"_Toc90880579" </w:instrText>
          </w:r>
          <w:r>
            <w:fldChar w:fldCharType="separate"/>
          </w:r>
          <w:r>
            <w:rPr>
              <w:rStyle w:val="14"/>
              <w:rFonts w:hint="eastAsia" w:ascii="仿宋_GB2312" w:eastAsia="仿宋_GB2312"/>
              <w:sz w:val="32"/>
              <w:szCs w:val="32"/>
            </w:rPr>
            <w:t>一、推进实施藏粮于技、科技兴粮</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_Toc90880579 \h </w:instrText>
          </w:r>
          <w:r>
            <w:rPr>
              <w:rFonts w:hint="eastAsia" w:ascii="仿宋_GB2312" w:eastAsia="仿宋_GB2312"/>
              <w:sz w:val="32"/>
              <w:szCs w:val="32"/>
            </w:rPr>
            <w:fldChar w:fldCharType="separate"/>
          </w:r>
          <w:r>
            <w:rPr>
              <w:rFonts w:ascii="仿宋_GB2312" w:eastAsia="仿宋_GB2312"/>
              <w:sz w:val="32"/>
              <w:szCs w:val="32"/>
            </w:rPr>
            <w:t>53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"_Toc90880580" </w:instrText>
          </w:r>
          <w:r>
            <w:fldChar w:fldCharType="separate"/>
          </w:r>
          <w:r>
            <w:rPr>
              <w:rStyle w:val="14"/>
              <w:rFonts w:hint="eastAsia" w:ascii="仿宋_GB2312" w:eastAsia="仿宋_GB2312"/>
              <w:sz w:val="32"/>
              <w:szCs w:val="32"/>
            </w:rPr>
            <w:t>二、加快建设智慧粮储、科技物储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_Toc90880580 \h </w:instrText>
          </w:r>
          <w:r>
            <w:rPr>
              <w:rFonts w:hint="eastAsia" w:ascii="仿宋_GB2312" w:eastAsia="仿宋_GB2312"/>
              <w:sz w:val="32"/>
              <w:szCs w:val="32"/>
            </w:rPr>
            <w:fldChar w:fldCharType="separate"/>
          </w:r>
          <w:r>
            <w:rPr>
              <w:rFonts w:ascii="仿宋_GB2312" w:eastAsia="仿宋_GB2312"/>
              <w:sz w:val="32"/>
              <w:szCs w:val="32"/>
            </w:rPr>
            <w:t>53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"_Toc90880581" </w:instrText>
          </w:r>
          <w:r>
            <w:fldChar w:fldCharType="separate"/>
          </w:r>
          <w:r>
            <w:rPr>
              <w:rStyle w:val="14"/>
              <w:rFonts w:hint="eastAsia" w:ascii="仿宋_GB2312" w:eastAsia="仿宋_GB2312"/>
              <w:sz w:val="32"/>
              <w:szCs w:val="32"/>
            </w:rPr>
            <w:t>三、提升行业数字化、智能化水平</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_Toc90880581 \h </w:instrText>
          </w:r>
          <w:r>
            <w:rPr>
              <w:rFonts w:hint="eastAsia" w:ascii="仿宋_GB2312" w:eastAsia="仿宋_GB2312"/>
              <w:sz w:val="32"/>
              <w:szCs w:val="32"/>
            </w:rPr>
            <w:fldChar w:fldCharType="separate"/>
          </w:r>
          <w:r>
            <w:rPr>
              <w:rFonts w:ascii="仿宋_GB2312" w:eastAsia="仿宋_GB2312"/>
              <w:sz w:val="32"/>
              <w:szCs w:val="32"/>
            </w:rPr>
            <w:t>54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"_Toc90880582" </w:instrText>
          </w:r>
          <w:r>
            <w:fldChar w:fldCharType="separate"/>
          </w:r>
          <w:r>
            <w:rPr>
              <w:rStyle w:val="14"/>
              <w:rFonts w:hint="eastAsia" w:ascii="仿宋_GB2312" w:eastAsia="仿宋_GB2312"/>
              <w:sz w:val="32"/>
              <w:szCs w:val="32"/>
            </w:rPr>
            <w:t>四、加快标准化建设、标准化管理</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_Toc90880582 \h </w:instrText>
          </w:r>
          <w:r>
            <w:rPr>
              <w:rFonts w:hint="eastAsia" w:ascii="仿宋_GB2312" w:eastAsia="仿宋_GB2312"/>
              <w:sz w:val="32"/>
              <w:szCs w:val="32"/>
            </w:rPr>
            <w:fldChar w:fldCharType="separate"/>
          </w:r>
          <w:r>
            <w:rPr>
              <w:rFonts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"_Toc90880583" </w:instrText>
          </w:r>
          <w:r>
            <w:fldChar w:fldCharType="separate"/>
          </w:r>
          <w:r>
            <w:rPr>
              <w:rStyle w:val="14"/>
              <w:rFonts w:hint="eastAsia" w:ascii="仿宋_GB2312" w:eastAsia="仿宋_GB2312"/>
              <w:sz w:val="32"/>
              <w:szCs w:val="32"/>
            </w:rPr>
            <w:t>五、加强队伍建设、优化人才结构</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_Toc90880583 \h </w:instrText>
          </w:r>
          <w:r>
            <w:rPr>
              <w:rFonts w:hint="eastAsia" w:ascii="仿宋_GB2312" w:eastAsia="仿宋_GB2312"/>
              <w:sz w:val="32"/>
              <w:szCs w:val="32"/>
            </w:rPr>
            <w:fldChar w:fldCharType="separate"/>
          </w:r>
          <w:r>
            <w:rPr>
              <w:rFonts w:ascii="仿宋_GB2312" w:eastAsia="仿宋_GB2312"/>
              <w:sz w:val="32"/>
              <w:szCs w:val="32"/>
            </w:rPr>
            <w:t>56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rPr>
              <w:rFonts w:hAnsiTheme="minorHAnsi" w:cstheme="minorBidi"/>
              <w:b w:val="0"/>
              <w:bCs w:val="0"/>
              <w:kern w:val="2"/>
            </w:rPr>
          </w:pPr>
          <w:r>
            <w:fldChar w:fldCharType="begin"/>
          </w:r>
          <w:r>
            <w:instrText xml:space="preserve"> HYPERLINK \l "_Toc90880584" </w:instrText>
          </w:r>
          <w:r>
            <w:fldChar w:fldCharType="separate"/>
          </w:r>
          <w:r>
            <w:rPr>
              <w:rStyle w:val="14"/>
              <w:rFonts w:hint="eastAsia"/>
            </w:rPr>
            <w:t>第十一章 保障措施</w:t>
          </w:r>
          <w:r>
            <w:rPr>
              <w:rFonts w:hint="eastAsia"/>
            </w:rPr>
            <w:tab/>
          </w:r>
          <w:r>
            <w:rPr>
              <w:rFonts w:hint="eastAsia"/>
            </w:rPr>
            <w:fldChar w:fldCharType="begin"/>
          </w:r>
          <w:r>
            <w:rPr>
              <w:rFonts w:hint="eastAsia"/>
            </w:rPr>
            <w:instrText xml:space="preserve"> PAGEREF _Toc90880584 \h </w:instrText>
          </w:r>
          <w:r>
            <w:rPr>
              <w:rFonts w:hint="eastAsia"/>
            </w:rPr>
            <w:fldChar w:fldCharType="separate"/>
          </w:r>
          <w:r>
            <w:t>58</w:t>
          </w:r>
          <w:r>
            <w:rPr>
              <w:rFonts w:hint="eastAsia"/>
            </w:rPr>
            <w:fldChar w:fldCharType="end"/>
          </w:r>
          <w:r>
            <w:rPr>
              <w:rFonts w:hint="eastAsia"/>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"_Toc90880585" </w:instrText>
          </w:r>
          <w:r>
            <w:fldChar w:fldCharType="separate"/>
          </w:r>
          <w:r>
            <w:rPr>
              <w:rStyle w:val="14"/>
              <w:rFonts w:hint="eastAsia" w:ascii="仿宋_GB2312" w:eastAsia="仿宋_GB2312"/>
              <w:sz w:val="32"/>
              <w:szCs w:val="32"/>
            </w:rPr>
            <w:t>一、坚持党的全面领导</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_Toc90880585 \h </w:instrText>
          </w:r>
          <w:r>
            <w:rPr>
              <w:rFonts w:hint="eastAsia" w:ascii="仿宋_GB2312" w:eastAsia="仿宋_GB2312"/>
              <w:sz w:val="32"/>
              <w:szCs w:val="32"/>
            </w:rPr>
            <w:fldChar w:fldCharType="separate"/>
          </w:r>
          <w:r>
            <w:rPr>
              <w:rFonts w:ascii="仿宋_GB2312" w:eastAsia="仿宋_GB2312"/>
              <w:sz w:val="32"/>
              <w:szCs w:val="32"/>
            </w:rPr>
            <w:t>58</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"_Toc90880586" </w:instrText>
          </w:r>
          <w:r>
            <w:fldChar w:fldCharType="separate"/>
          </w:r>
          <w:r>
            <w:rPr>
              <w:rStyle w:val="14"/>
              <w:rFonts w:hint="eastAsia" w:ascii="仿宋_GB2312" w:eastAsia="仿宋_GB2312"/>
              <w:sz w:val="32"/>
              <w:szCs w:val="32"/>
            </w:rPr>
            <w:t>二、强化组织保障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_Toc90880586 \h </w:instrText>
          </w:r>
          <w:r>
            <w:rPr>
              <w:rFonts w:hint="eastAsia" w:ascii="仿宋_GB2312" w:eastAsia="仿宋_GB2312"/>
              <w:sz w:val="32"/>
              <w:szCs w:val="32"/>
            </w:rPr>
            <w:fldChar w:fldCharType="separate"/>
          </w:r>
          <w:r>
            <w:rPr>
              <w:rFonts w:ascii="仿宋_GB2312" w:eastAsia="仿宋_GB2312"/>
              <w:sz w:val="32"/>
              <w:szCs w:val="32"/>
            </w:rPr>
            <w:t>58</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"_Toc90880587" </w:instrText>
          </w:r>
          <w:r>
            <w:fldChar w:fldCharType="separate"/>
          </w:r>
          <w:r>
            <w:rPr>
              <w:rStyle w:val="14"/>
              <w:rFonts w:hint="eastAsia" w:ascii="仿宋_GB2312" w:eastAsia="仿宋_GB2312"/>
              <w:sz w:val="32"/>
              <w:szCs w:val="32"/>
            </w:rPr>
            <w:t>三、创新融资机制</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_Toc90880587 \h </w:instrText>
          </w:r>
          <w:r>
            <w:rPr>
              <w:rFonts w:hint="eastAsia" w:ascii="仿宋_GB2312" w:eastAsia="仿宋_GB2312"/>
              <w:sz w:val="32"/>
              <w:szCs w:val="32"/>
            </w:rPr>
            <w:fldChar w:fldCharType="separate"/>
          </w:r>
          <w:r>
            <w:rPr>
              <w:rFonts w:ascii="仿宋_GB2312" w:eastAsia="仿宋_GB2312"/>
              <w:sz w:val="32"/>
              <w:szCs w:val="32"/>
            </w:rPr>
            <w:t>59</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8296"/>
            </w:tabs>
            <w:ind w:left="480"/>
            <w:rPr>
              <w:rFonts w:ascii="仿宋_GB2312" w:eastAsia="仿宋_GB2312" w:hAnsiTheme="minorHAnsi" w:cstheme="minorBidi"/>
              <w:kern w:val="2"/>
              <w:sz w:val="32"/>
              <w:szCs w:val="32"/>
            </w:rPr>
          </w:pPr>
          <w:r>
            <w:fldChar w:fldCharType="begin"/>
          </w:r>
          <w:r>
            <w:instrText xml:space="preserve"> HYPERLINK \l "_Toc90880588" </w:instrText>
          </w:r>
          <w:r>
            <w:fldChar w:fldCharType="separate"/>
          </w:r>
          <w:r>
            <w:rPr>
              <w:rStyle w:val="14"/>
              <w:rFonts w:hint="eastAsia" w:ascii="仿宋_GB2312" w:eastAsia="仿宋_GB2312"/>
              <w:sz w:val="32"/>
              <w:szCs w:val="32"/>
            </w:rPr>
            <w:t>四、注重规划落实</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_Toc90880588 \h </w:instrText>
          </w:r>
          <w:r>
            <w:rPr>
              <w:rFonts w:hint="eastAsia" w:ascii="仿宋_GB2312" w:eastAsia="仿宋_GB2312"/>
              <w:sz w:val="32"/>
              <w:szCs w:val="32"/>
            </w:rPr>
            <w:fldChar w:fldCharType="separate"/>
          </w:r>
          <w:r>
            <w:rPr>
              <w:rFonts w:ascii="仿宋_GB2312" w:eastAsia="仿宋_GB2312"/>
              <w:sz w:val="32"/>
              <w:szCs w:val="32"/>
            </w:rPr>
            <w:t>60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rPr>
              <w:rFonts w:asciiTheme="minorHAnsi" w:hAnsiTheme="minorHAnsi" w:eastAsiaTheme="minorEastAsia" w:cstheme="minorBidi"/>
              <w:b w:val="0"/>
              <w:bCs w:val="0"/>
              <w:kern w:val="2"/>
              <w:sz w:val="21"/>
              <w:szCs w:val="22"/>
            </w:rPr>
          </w:pPr>
          <w:r>
            <w:fldChar w:fldCharType="begin"/>
          </w:r>
          <w:r>
            <w:instrText xml:space="preserve"> HYPERLINK \l "_Toc90880589" </w:instrText>
          </w:r>
          <w:r>
            <w:fldChar w:fldCharType="separate"/>
          </w:r>
          <w:r>
            <w:rPr>
              <w:rStyle w:val="14"/>
              <w:rFonts w:hint="eastAsia"/>
            </w:rPr>
            <w:t>附件：重点项目一览表</w:t>
          </w:r>
          <w:r>
            <w:rPr>
              <w:rFonts w:hint="eastAsia"/>
            </w:rPr>
            <w:tab/>
          </w:r>
          <w:r>
            <w:rPr>
              <w:rFonts w:hint="eastAsia"/>
            </w:rPr>
            <w:fldChar w:fldCharType="begin"/>
          </w:r>
          <w:r>
            <w:rPr>
              <w:rFonts w:hint="eastAsia"/>
            </w:rPr>
            <w:instrText xml:space="preserve"> PAGEREF _Toc90880589 \h </w:instrText>
          </w:r>
          <w:r>
            <w:rPr>
              <w:rFonts w:hint="eastAsia"/>
            </w:rPr>
            <w:fldChar w:fldCharType="separate"/>
          </w:r>
          <w:r>
            <w:t>61</w:t>
          </w:r>
          <w:r>
            <w:rPr>
              <w:rFonts w:hint="eastAsia"/>
            </w:rPr>
            <w:fldChar w:fldCharType="end"/>
          </w:r>
          <w:r>
            <w:rPr>
              <w:rFonts w:hint="eastAsia"/>
            </w:rPr>
            <w:fldChar w:fldCharType="end"/>
          </w:r>
        </w:p>
        <w:p>
          <w:r>
            <w:rPr>
              <w:rFonts w:hint="eastAsia" w:ascii="仿宋_GB2312" w:eastAsia="仿宋_GB2312"/>
              <w:bCs/>
              <w:sz w:val="32"/>
              <w:szCs w:val="32"/>
              <w:lang w:val="zh-CN"/>
            </w:rPr>
            <w:fldChar w:fldCharType="end"/>
          </w:r>
        </w:p>
      </w:sdtContent>
    </w:sdt>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sectPr>
          <w:footerReference r:id="rId4" w:type="default"/>
          <w:pgSz w:w="11906" w:h="16838"/>
          <w:pgMar w:top="1440" w:right="1800" w:bottom="1440" w:left="1800" w:header="851" w:footer="992" w:gutter="0"/>
          <w:pgNumType w:fmt="upperRoman" w:start="1"/>
          <w:cols w:space="425" w:num="1"/>
          <w:docGrid w:type="lines" w:linePitch="312" w:charSpace="0"/>
        </w:sectPr>
      </w:pPr>
    </w:p>
    <w:p>
      <w:pPr>
        <w:snapToGrid w:val="0"/>
        <w:spacing w:before="312" w:beforeLines="100" w:after="312" w:afterLines="100" w:line="360" w:lineRule="auto"/>
        <w:jc w:val="center"/>
        <w:outlineLvl w:val="0"/>
        <w:rPr>
          <w:rFonts w:ascii="仿宋_GB2312" w:eastAsia="仿宋_GB2312"/>
          <w:b/>
          <w:sz w:val="36"/>
          <w:szCs w:val="20"/>
        </w:rPr>
      </w:pPr>
      <w:bookmarkStart w:id="0" w:name="_Toc90880533"/>
      <w:r>
        <w:rPr>
          <w:rFonts w:hint="eastAsia" w:ascii="仿宋_GB2312" w:eastAsia="仿宋_GB2312"/>
          <w:b/>
          <w:sz w:val="36"/>
          <w:szCs w:val="20"/>
        </w:rPr>
        <w:t>第一章</w:t>
      </w:r>
      <w:r>
        <w:rPr>
          <w:rFonts w:ascii="仿宋_GB2312" w:eastAsia="仿宋_GB2312"/>
          <w:b/>
          <w:sz w:val="36"/>
          <w:szCs w:val="20"/>
        </w:rPr>
        <w:t xml:space="preserve">  序 言</w:t>
      </w:r>
      <w:bookmarkEnd w:id="0"/>
    </w:p>
    <w:p>
      <w:pPr>
        <w:outlineLvl w:val="1"/>
        <w:rPr>
          <w:rFonts w:ascii="仿宋_GB2312" w:eastAsia="仿宋_GB2312"/>
          <w:b/>
          <w:sz w:val="32"/>
        </w:rPr>
      </w:pPr>
      <w:bookmarkStart w:id="1" w:name="_Toc90880534"/>
      <w:r>
        <w:rPr>
          <w:rFonts w:hint="eastAsia" w:ascii="仿宋_GB2312" w:eastAsia="仿宋_GB2312"/>
          <w:b/>
          <w:sz w:val="32"/>
        </w:rPr>
        <w:t>一、</w:t>
      </w:r>
      <w:r>
        <w:rPr>
          <w:rFonts w:ascii="仿宋_GB2312" w:eastAsia="仿宋_GB2312"/>
          <w:b/>
          <w:sz w:val="32"/>
        </w:rPr>
        <w:t>编制目的</w:t>
      </w:r>
      <w:bookmarkEnd w:id="1"/>
    </w:p>
    <w:p>
      <w:pPr>
        <w:ind w:firstLine="640" w:firstLineChars="200"/>
        <w:rPr>
          <w:rFonts w:ascii="仿宋_GB2312" w:eastAsia="仿宋_GB2312"/>
          <w:sz w:val="32"/>
        </w:rPr>
      </w:pPr>
      <w:r>
        <w:rPr>
          <w:rFonts w:hint="eastAsia" w:ascii="仿宋_GB2312" w:eastAsia="仿宋_GB2312"/>
          <w:sz w:val="32"/>
        </w:rPr>
        <w:t>“十四五”时期是我国全面建成小康社会、实现第一个百年奋斗目标之后，乘势而上开启全面建设社会主义现代化国家新征程、向第二个百年奋斗目标进军的第一个五年。粮食安全是国家安全的重要内容，物资储备是应对突发事件、防范重大风险的重要基础。以习近平同志为核心的党中央把粮食安全作为治国理政的头等大事，确立了以我为主、立足国内、确保产能、适度进口、科技支撑的国家粮食安全战略。桂林市是广西产粮大市，也是广西粮食流通和物资储备的重要基地。立足桂林市粮食和物资储备基本市情，为加快粮食和物资储备行业高质量发展，确保粮食和物资储备安全，建立“十四五”期间统一规范的粮食和物资储备安全保障体系，切实发挥规划的战略导向作用，编制《桂林市粮食和物资储备行业“十四五”发展规划》，作为未来五年的主要工作方向和行动指南。</w:t>
      </w:r>
    </w:p>
    <w:p>
      <w:pPr>
        <w:ind w:firstLine="640" w:firstLineChars="200"/>
        <w:rPr>
          <w:rFonts w:ascii="仿宋_GB2312" w:eastAsia="仿宋_GB2312"/>
          <w:sz w:val="32"/>
        </w:rPr>
      </w:pPr>
    </w:p>
    <w:p>
      <w:pPr>
        <w:outlineLvl w:val="1"/>
        <w:rPr>
          <w:rFonts w:ascii="仿宋_GB2312" w:eastAsia="仿宋_GB2312"/>
          <w:b/>
          <w:sz w:val="32"/>
        </w:rPr>
      </w:pPr>
      <w:bookmarkStart w:id="2" w:name="_Toc90880535"/>
      <w:r>
        <w:rPr>
          <w:rFonts w:hint="eastAsia" w:ascii="仿宋_GB2312" w:eastAsia="仿宋_GB2312"/>
          <w:b/>
          <w:sz w:val="32"/>
        </w:rPr>
        <w:t>二、</w:t>
      </w:r>
      <w:r>
        <w:rPr>
          <w:rFonts w:ascii="仿宋_GB2312" w:eastAsia="仿宋_GB2312"/>
          <w:b/>
          <w:sz w:val="32"/>
        </w:rPr>
        <w:t>规划对象</w:t>
      </w:r>
      <w:bookmarkEnd w:id="2"/>
    </w:p>
    <w:p>
      <w:pPr>
        <w:ind w:firstLine="640" w:firstLineChars="200"/>
        <w:rPr>
          <w:rFonts w:ascii="仿宋_GB2312" w:eastAsia="仿宋_GB2312"/>
          <w:sz w:val="32"/>
        </w:rPr>
      </w:pPr>
      <w:r>
        <w:rPr>
          <w:rFonts w:hint="eastAsia" w:ascii="仿宋_GB2312" w:eastAsia="仿宋_GB2312"/>
          <w:sz w:val="32"/>
        </w:rPr>
        <w:t>桂林市“十四五”期间粮食和物资储备行业的高质量发展和战略规划，区域范围涵盖秀峰、叠彩、象山、七星、雁山、临桂等</w:t>
      </w:r>
      <w:r>
        <w:rPr>
          <w:rFonts w:ascii="仿宋_GB2312" w:eastAsia="仿宋_GB2312"/>
          <w:sz w:val="32"/>
        </w:rPr>
        <w:t>6</w:t>
      </w:r>
      <w:r>
        <w:rPr>
          <w:rFonts w:hint="eastAsia" w:ascii="仿宋_GB2312" w:eastAsia="仿宋_GB2312"/>
          <w:sz w:val="32"/>
        </w:rPr>
        <w:t>个市辖</w:t>
      </w:r>
      <w:r>
        <w:rPr>
          <w:rFonts w:ascii="仿宋_GB2312" w:eastAsia="仿宋_GB2312"/>
          <w:sz w:val="32"/>
        </w:rPr>
        <w:t>区，阳朔、灵川、全州、兴安、永福、灌阳、龙胜、资源、平乐、恭城</w:t>
      </w:r>
      <w:r>
        <w:rPr>
          <w:rFonts w:hint="eastAsia" w:ascii="仿宋_GB2312" w:eastAsia="仿宋_GB2312"/>
          <w:sz w:val="32"/>
        </w:rPr>
        <w:t>等</w:t>
      </w:r>
      <w:r>
        <w:rPr>
          <w:rFonts w:ascii="仿宋_GB2312" w:eastAsia="仿宋_GB2312"/>
          <w:sz w:val="32"/>
        </w:rPr>
        <w:t>10个县（自治县）</w:t>
      </w:r>
      <w:r>
        <w:rPr>
          <w:rFonts w:hint="eastAsia" w:ascii="仿宋_GB2312" w:eastAsia="仿宋_GB2312"/>
          <w:sz w:val="32"/>
        </w:rPr>
        <w:t>，以及</w:t>
      </w:r>
      <w:r>
        <w:rPr>
          <w:rFonts w:ascii="仿宋_GB2312" w:eastAsia="仿宋_GB2312"/>
          <w:sz w:val="32"/>
        </w:rPr>
        <w:t>荔浦市</w:t>
      </w:r>
      <w:r>
        <w:rPr>
          <w:rFonts w:hint="eastAsia" w:ascii="仿宋_GB2312" w:eastAsia="仿宋_GB2312"/>
          <w:sz w:val="32"/>
        </w:rPr>
        <w:t>1个县级市</w:t>
      </w:r>
      <w:r>
        <w:rPr>
          <w:rFonts w:ascii="仿宋_GB2312" w:eastAsia="仿宋_GB2312"/>
          <w:sz w:val="32"/>
        </w:rPr>
        <w:t>。</w:t>
      </w:r>
    </w:p>
    <w:p>
      <w:pPr>
        <w:ind w:firstLine="640" w:firstLineChars="200"/>
        <w:rPr>
          <w:rFonts w:ascii="仿宋_GB2312" w:eastAsia="仿宋_GB2312"/>
          <w:sz w:val="32"/>
        </w:rPr>
      </w:pPr>
    </w:p>
    <w:p>
      <w:pPr>
        <w:outlineLvl w:val="1"/>
        <w:rPr>
          <w:rFonts w:ascii="仿宋_GB2312" w:eastAsia="仿宋_GB2312"/>
          <w:b/>
          <w:sz w:val="32"/>
        </w:rPr>
      </w:pPr>
      <w:bookmarkStart w:id="3" w:name="_Toc90880536"/>
      <w:r>
        <w:rPr>
          <w:rFonts w:hint="eastAsia" w:ascii="仿宋_GB2312" w:eastAsia="仿宋_GB2312"/>
          <w:b/>
          <w:sz w:val="32"/>
        </w:rPr>
        <w:t>三、</w:t>
      </w:r>
      <w:r>
        <w:rPr>
          <w:rFonts w:ascii="仿宋_GB2312" w:eastAsia="仿宋_GB2312"/>
          <w:b/>
          <w:sz w:val="32"/>
        </w:rPr>
        <w:t>规划依据</w:t>
      </w:r>
      <w:bookmarkEnd w:id="3"/>
    </w:p>
    <w:p>
      <w:pPr>
        <w:ind w:firstLine="640" w:firstLineChars="200"/>
        <w:rPr>
          <w:rFonts w:ascii="仿宋_GB2312" w:eastAsia="仿宋_GB2312"/>
          <w:sz w:val="32"/>
        </w:rPr>
      </w:pPr>
      <w:r>
        <w:rPr>
          <w:rFonts w:hint="eastAsia" w:ascii="仿宋_GB2312" w:eastAsia="仿宋_GB2312"/>
          <w:sz w:val="32"/>
        </w:rPr>
        <w:t>《粮食流通管理条例》（</w:t>
      </w:r>
      <w:r>
        <w:rPr>
          <w:rFonts w:ascii="仿宋_GB2312" w:eastAsia="仿宋_GB2312"/>
          <w:sz w:val="32"/>
        </w:rPr>
        <w:t>2021年2月15日中华人民共和国国务院令第740号第三次修订</w:t>
      </w:r>
      <w:r>
        <w:rPr>
          <w:rFonts w:hint="eastAsia" w:ascii="仿宋_GB2312" w:eastAsia="仿宋_GB2312"/>
          <w:sz w:val="32"/>
        </w:rPr>
        <w:t>）</w:t>
      </w:r>
    </w:p>
    <w:p>
      <w:pPr>
        <w:ind w:firstLine="640" w:firstLineChars="200"/>
        <w:rPr>
          <w:rFonts w:ascii="仿宋_GB2312" w:eastAsia="仿宋_GB2312"/>
          <w:sz w:val="32"/>
        </w:rPr>
      </w:pPr>
      <w:r>
        <w:rPr>
          <w:rFonts w:hint="eastAsia" w:ascii="仿宋_GB2312" w:eastAsia="仿宋_GB2312"/>
          <w:sz w:val="32"/>
        </w:rPr>
        <w:t>《关于改革完善体制机制加强粮食储备安全管理的若干意见》（中办〔</w:t>
      </w:r>
      <w:r>
        <w:rPr>
          <w:rFonts w:ascii="仿宋_GB2312" w:eastAsia="仿宋_GB2312"/>
          <w:sz w:val="32"/>
        </w:rPr>
        <w:t>2019〕 48号）</w:t>
      </w:r>
    </w:p>
    <w:p>
      <w:pPr>
        <w:ind w:firstLine="640" w:firstLineChars="200"/>
        <w:rPr>
          <w:rFonts w:ascii="仿宋_GB2312" w:eastAsia="仿宋_GB2312"/>
          <w:sz w:val="32"/>
        </w:rPr>
      </w:pPr>
      <w:r>
        <w:rPr>
          <w:rFonts w:hint="eastAsia" w:ascii="仿宋_GB2312" w:eastAsia="仿宋_GB2312"/>
          <w:sz w:val="32"/>
        </w:rPr>
        <w:t>《</w:t>
      </w:r>
      <w:r>
        <w:rPr>
          <w:rFonts w:ascii="仿宋_GB2312" w:eastAsia="仿宋_GB2312"/>
          <w:sz w:val="32"/>
        </w:rPr>
        <w:t>关于防止耕地“非粮化”稳定粮食生产的意见</w:t>
      </w:r>
      <w:r>
        <w:rPr>
          <w:rFonts w:hint="eastAsia" w:ascii="仿宋_GB2312" w:eastAsia="仿宋_GB2312"/>
          <w:sz w:val="32"/>
        </w:rPr>
        <w:t>》（国办发〔</w:t>
      </w:r>
      <w:r>
        <w:rPr>
          <w:rFonts w:ascii="仿宋_GB2312" w:eastAsia="仿宋_GB2312"/>
          <w:sz w:val="32"/>
        </w:rPr>
        <w:t>2020〕44号）</w:t>
      </w:r>
    </w:p>
    <w:p>
      <w:pPr>
        <w:ind w:firstLine="640" w:firstLineChars="200"/>
        <w:rPr>
          <w:rFonts w:ascii="仿宋_GB2312" w:eastAsia="仿宋_GB2312"/>
          <w:sz w:val="32"/>
        </w:rPr>
      </w:pPr>
      <w:r>
        <w:rPr>
          <w:rFonts w:hint="eastAsia" w:ascii="仿宋_GB2312" w:eastAsia="仿宋_GB2312"/>
          <w:sz w:val="32"/>
        </w:rPr>
        <w:t>《</w:t>
      </w:r>
      <w:r>
        <w:rPr>
          <w:rFonts w:ascii="仿宋_GB2312" w:eastAsia="仿宋_GB2312"/>
          <w:sz w:val="32"/>
        </w:rPr>
        <w:t>关于“科技兴储”的实施意见</w:t>
      </w:r>
      <w:r>
        <w:rPr>
          <w:rFonts w:hint="eastAsia" w:ascii="仿宋_GB2312" w:eastAsia="仿宋_GB2312"/>
          <w:sz w:val="32"/>
        </w:rPr>
        <w:t>》（国粮仓〔</w:t>
      </w:r>
      <w:r>
        <w:rPr>
          <w:rFonts w:ascii="仿宋_GB2312" w:eastAsia="仿宋_GB2312"/>
          <w:sz w:val="32"/>
        </w:rPr>
        <w:t>2021〕94号</w:t>
      </w:r>
      <w:r>
        <w:rPr>
          <w:rFonts w:hint="eastAsia" w:ascii="仿宋_GB2312" w:eastAsia="仿宋_GB2312"/>
          <w:sz w:val="32"/>
        </w:rPr>
        <w:t>）</w:t>
      </w:r>
    </w:p>
    <w:p>
      <w:pPr>
        <w:ind w:firstLine="640" w:firstLineChars="200"/>
        <w:rPr>
          <w:rFonts w:ascii="仿宋_GB2312" w:eastAsia="仿宋_GB2312"/>
          <w:sz w:val="32"/>
        </w:rPr>
      </w:pPr>
      <w:r>
        <w:rPr>
          <w:rFonts w:hint="eastAsia" w:ascii="仿宋_GB2312" w:eastAsia="仿宋_GB2312"/>
          <w:sz w:val="32"/>
        </w:rPr>
        <w:t>《</w:t>
      </w:r>
      <w:r>
        <w:rPr>
          <w:rFonts w:ascii="仿宋_GB2312" w:eastAsia="仿宋_GB2312"/>
          <w:sz w:val="32"/>
        </w:rPr>
        <w:t>关于</w:t>
      </w:r>
      <w:r>
        <w:rPr>
          <w:rFonts w:hint="eastAsia" w:ascii="仿宋_GB2312" w:eastAsia="仿宋_GB2312"/>
          <w:sz w:val="32"/>
        </w:rPr>
        <w:t>“</w:t>
      </w:r>
      <w:r>
        <w:rPr>
          <w:rFonts w:ascii="仿宋_GB2312" w:eastAsia="仿宋_GB2312"/>
          <w:sz w:val="32"/>
        </w:rPr>
        <w:t>人才兴储</w:t>
      </w:r>
      <w:r>
        <w:rPr>
          <w:rFonts w:hint="eastAsia" w:ascii="仿宋_GB2312" w:eastAsia="仿宋_GB2312"/>
          <w:sz w:val="32"/>
        </w:rPr>
        <w:t>”</w:t>
      </w:r>
      <w:r>
        <w:rPr>
          <w:rFonts w:ascii="仿宋_GB2312" w:eastAsia="仿宋_GB2312"/>
          <w:sz w:val="32"/>
        </w:rPr>
        <w:t>的实施意见</w:t>
      </w:r>
      <w:r>
        <w:rPr>
          <w:rFonts w:hint="eastAsia" w:ascii="仿宋_GB2312" w:eastAsia="仿宋_GB2312"/>
          <w:sz w:val="32"/>
        </w:rPr>
        <w:t>》（国粮人〔</w:t>
      </w:r>
      <w:r>
        <w:rPr>
          <w:rFonts w:ascii="仿宋_GB2312" w:eastAsia="仿宋_GB2312"/>
          <w:sz w:val="32"/>
        </w:rPr>
        <w:t>2020〕313号）</w:t>
      </w:r>
    </w:p>
    <w:p>
      <w:pPr>
        <w:ind w:firstLine="640" w:firstLineChars="200"/>
        <w:rPr>
          <w:rFonts w:ascii="仿宋_GB2312" w:eastAsia="仿宋_GB2312"/>
          <w:sz w:val="32"/>
        </w:rPr>
      </w:pPr>
      <w:r>
        <w:rPr>
          <w:rFonts w:hint="eastAsia" w:ascii="仿宋_GB2312" w:eastAsia="仿宋_GB2312"/>
          <w:sz w:val="32"/>
        </w:rPr>
        <w:t>《“十四五”粮食产业高质量发展规划》</w:t>
      </w:r>
    </w:p>
    <w:p>
      <w:pPr>
        <w:ind w:firstLine="640" w:firstLineChars="200"/>
        <w:rPr>
          <w:rFonts w:ascii="仿宋_GB2312" w:eastAsia="仿宋_GB2312"/>
          <w:sz w:val="32"/>
        </w:rPr>
      </w:pPr>
      <w:r>
        <w:rPr>
          <w:rFonts w:hint="eastAsia" w:ascii="仿宋_GB2312" w:eastAsia="仿宋_GB2312"/>
          <w:sz w:val="32"/>
        </w:rPr>
        <w:t>《关于认真贯彻落实习近平总书记重要讲话精神健全储备体系提升储备效能的通知》（国粮党字〔</w:t>
      </w:r>
      <w:r>
        <w:rPr>
          <w:rFonts w:ascii="仿宋_GB2312" w:eastAsia="仿宋_GB2312"/>
          <w:sz w:val="32"/>
        </w:rPr>
        <w:t>2020〕13号）</w:t>
      </w:r>
    </w:p>
    <w:p>
      <w:pPr>
        <w:ind w:firstLine="640" w:firstLineChars="200"/>
        <w:rPr>
          <w:rFonts w:ascii="仿宋_GB2312" w:eastAsia="仿宋_GB2312"/>
          <w:sz w:val="32"/>
        </w:rPr>
      </w:pPr>
      <w:r>
        <w:rPr>
          <w:rFonts w:hint="eastAsia" w:ascii="仿宋_GB2312" w:eastAsia="仿宋_GB2312"/>
          <w:sz w:val="32"/>
        </w:rPr>
        <w:t>《关于统筹推进粮食和物资储备信息化建设的指导意见》（国粮发〔</w:t>
      </w:r>
      <w:r>
        <w:rPr>
          <w:rFonts w:ascii="仿宋_GB2312" w:eastAsia="仿宋_GB2312"/>
          <w:sz w:val="32"/>
        </w:rPr>
        <w:t>2020〕6号</w:t>
      </w:r>
      <w:r>
        <w:rPr>
          <w:rFonts w:hint="eastAsia" w:ascii="仿宋_GB2312" w:eastAsia="仿宋_GB2312"/>
          <w:sz w:val="32"/>
        </w:rPr>
        <w:t>）</w:t>
      </w:r>
    </w:p>
    <w:p>
      <w:pPr>
        <w:ind w:firstLine="640" w:firstLineChars="200"/>
        <w:rPr>
          <w:rFonts w:ascii="仿宋_GB2312" w:eastAsia="仿宋_GB2312"/>
          <w:sz w:val="32"/>
        </w:rPr>
      </w:pPr>
      <w:r>
        <w:rPr>
          <w:rFonts w:hint="eastAsia" w:ascii="仿宋_GB2312" w:eastAsia="仿宋_GB2312"/>
          <w:sz w:val="32"/>
        </w:rPr>
        <w:t>《广西粮食和物资储备行业发展“十四五”规划》</w:t>
      </w:r>
    </w:p>
    <w:p>
      <w:pPr>
        <w:ind w:firstLine="640" w:firstLineChars="200"/>
        <w:rPr>
          <w:rFonts w:ascii="仿宋_GB2312" w:eastAsia="仿宋_GB2312"/>
          <w:sz w:val="32"/>
        </w:rPr>
      </w:pPr>
      <w:r>
        <w:rPr>
          <w:rFonts w:hint="eastAsia" w:ascii="仿宋_GB2312" w:eastAsia="仿宋_GB2312"/>
          <w:sz w:val="32"/>
        </w:rPr>
        <w:t>《广西粮食和物资储备信息化发展“十四五”规划》</w:t>
      </w:r>
    </w:p>
    <w:p>
      <w:pPr>
        <w:ind w:firstLine="640" w:firstLineChars="200"/>
        <w:rPr>
          <w:rFonts w:ascii="仿宋_GB2312" w:eastAsia="仿宋_GB2312"/>
          <w:sz w:val="32"/>
        </w:rPr>
      </w:pPr>
      <w:r>
        <w:rPr>
          <w:rFonts w:hint="eastAsia" w:ascii="仿宋_GB2312" w:eastAsia="仿宋_GB2312"/>
          <w:sz w:val="32"/>
        </w:rPr>
        <w:t>《广西香米产业发展“十四五”规划》</w:t>
      </w:r>
    </w:p>
    <w:p>
      <w:pPr>
        <w:ind w:firstLine="640" w:firstLineChars="200"/>
        <w:rPr>
          <w:rFonts w:ascii="仿宋_GB2312" w:eastAsia="仿宋_GB2312"/>
          <w:sz w:val="32"/>
        </w:rPr>
      </w:pPr>
      <w:r>
        <w:rPr>
          <w:rFonts w:hint="eastAsia" w:ascii="仿宋_GB2312" w:eastAsia="仿宋_GB2312"/>
          <w:sz w:val="32"/>
        </w:rPr>
        <w:t>《关于印发健全广西储备体系提升储备效能工作措施的通知》（桂粮办发〔</w:t>
      </w:r>
      <w:r>
        <w:rPr>
          <w:rFonts w:ascii="仿宋_GB2312" w:eastAsia="仿宋_GB2312"/>
          <w:sz w:val="32"/>
        </w:rPr>
        <w:t>2020〕14号</w:t>
      </w:r>
      <w:r>
        <w:rPr>
          <w:rFonts w:hint="eastAsia" w:ascii="仿宋_GB2312" w:eastAsia="仿宋_GB2312"/>
          <w:sz w:val="32"/>
        </w:rPr>
        <w:t>）</w:t>
      </w:r>
    </w:p>
    <w:p>
      <w:pPr>
        <w:ind w:firstLine="640" w:firstLineChars="200"/>
        <w:rPr>
          <w:rFonts w:ascii="仿宋_GB2312" w:eastAsia="仿宋_GB2312"/>
          <w:sz w:val="32"/>
        </w:rPr>
      </w:pPr>
      <w:r>
        <w:rPr>
          <w:rFonts w:hint="eastAsia" w:ascii="仿宋_GB2312" w:eastAsia="仿宋_GB2312"/>
          <w:sz w:val="32"/>
        </w:rPr>
        <w:t>《桂林市国民经济和社会发展第十四个五年规划和二</w:t>
      </w:r>
      <w:r>
        <w:rPr>
          <w:rFonts w:hint="eastAsia" w:ascii="微软雅黑" w:hAnsi="微软雅黑" w:eastAsia="微软雅黑" w:cs="微软雅黑"/>
          <w:sz w:val="32"/>
        </w:rPr>
        <w:t>〇</w:t>
      </w:r>
      <w:r>
        <w:rPr>
          <w:rFonts w:hint="eastAsia" w:ascii="仿宋_GB2312" w:hAnsi="仿宋_GB2312" w:eastAsia="仿宋_GB2312" w:cs="仿宋_GB2312"/>
          <w:sz w:val="32"/>
        </w:rPr>
        <w:t>三五年远景目标纲要</w:t>
      </w:r>
      <w:r>
        <w:rPr>
          <w:rFonts w:hint="eastAsia" w:ascii="仿宋_GB2312" w:eastAsia="仿宋_GB2312"/>
          <w:sz w:val="32"/>
        </w:rPr>
        <w:t>》（市政〔</w:t>
      </w:r>
      <w:r>
        <w:rPr>
          <w:rFonts w:ascii="仿宋_GB2312" w:eastAsia="仿宋_GB2312"/>
          <w:sz w:val="32"/>
        </w:rPr>
        <w:t>2021〕9号</w:t>
      </w:r>
      <w:r>
        <w:rPr>
          <w:rFonts w:hint="eastAsia" w:ascii="仿宋_GB2312" w:eastAsia="仿宋_GB2312"/>
          <w:sz w:val="32"/>
        </w:rPr>
        <w:t>）</w:t>
      </w:r>
    </w:p>
    <w:p>
      <w:pPr>
        <w:ind w:firstLine="640" w:firstLineChars="200"/>
        <w:rPr>
          <w:rFonts w:ascii="仿宋_GB2312" w:eastAsia="仿宋_GB2312"/>
          <w:sz w:val="32"/>
        </w:rPr>
      </w:pPr>
    </w:p>
    <w:p>
      <w:pPr>
        <w:outlineLvl w:val="1"/>
        <w:rPr>
          <w:rFonts w:ascii="仿宋_GB2312" w:eastAsia="仿宋_GB2312"/>
          <w:b/>
          <w:sz w:val="32"/>
        </w:rPr>
      </w:pPr>
      <w:bookmarkStart w:id="4" w:name="_Toc90880537"/>
      <w:r>
        <w:rPr>
          <w:rFonts w:hint="eastAsia" w:ascii="仿宋_GB2312" w:eastAsia="仿宋_GB2312"/>
          <w:b/>
          <w:sz w:val="32"/>
        </w:rPr>
        <w:t>四、</w:t>
      </w:r>
      <w:r>
        <w:rPr>
          <w:rFonts w:ascii="仿宋_GB2312" w:eastAsia="仿宋_GB2312"/>
          <w:b/>
          <w:sz w:val="32"/>
        </w:rPr>
        <w:t>规划期限</w:t>
      </w:r>
      <w:bookmarkEnd w:id="4"/>
    </w:p>
    <w:p>
      <w:pPr>
        <w:ind w:firstLine="640" w:firstLineChars="200"/>
        <w:rPr>
          <w:rFonts w:ascii="仿宋_GB2312" w:eastAsia="仿宋_GB2312"/>
          <w:sz w:val="32"/>
        </w:rPr>
      </w:pPr>
      <w:r>
        <w:rPr>
          <w:rFonts w:hint="eastAsia" w:ascii="仿宋_GB2312" w:eastAsia="仿宋_GB2312"/>
          <w:sz w:val="32"/>
        </w:rPr>
        <w:t>规划期限为</w:t>
      </w:r>
      <w:r>
        <w:rPr>
          <w:rFonts w:ascii="仿宋_GB2312" w:eastAsia="仿宋_GB2312"/>
          <w:sz w:val="32"/>
        </w:rPr>
        <w:t>2021-2025年。</w:t>
      </w:r>
    </w:p>
    <w:p>
      <w:pPr>
        <w:ind w:firstLine="640" w:firstLineChars="200"/>
        <w:rPr>
          <w:rFonts w:ascii="仿宋_GB2312" w:eastAsia="仿宋_GB2312"/>
          <w:sz w:val="32"/>
        </w:rPr>
      </w:pPr>
    </w:p>
    <w:p>
      <w:pPr>
        <w:rPr>
          <w:rFonts w:ascii="仿宋_GB2312" w:eastAsia="仿宋_GB2312"/>
          <w:b/>
          <w:sz w:val="36"/>
          <w:szCs w:val="20"/>
        </w:rPr>
      </w:pPr>
      <w:r>
        <w:rPr>
          <w:rFonts w:ascii="仿宋_GB2312" w:eastAsia="仿宋_GB2312"/>
          <w:b/>
          <w:sz w:val="36"/>
          <w:szCs w:val="20"/>
        </w:rPr>
        <w:br w:type="page"/>
      </w:r>
    </w:p>
    <w:p>
      <w:pPr>
        <w:snapToGrid w:val="0"/>
        <w:spacing w:before="312" w:beforeLines="100" w:after="312" w:afterLines="100" w:line="360" w:lineRule="auto"/>
        <w:jc w:val="center"/>
        <w:outlineLvl w:val="0"/>
        <w:rPr>
          <w:rFonts w:ascii="仿宋_GB2312" w:eastAsia="仿宋_GB2312"/>
          <w:b/>
          <w:sz w:val="36"/>
          <w:szCs w:val="20"/>
        </w:rPr>
      </w:pPr>
      <w:bookmarkStart w:id="5" w:name="_Toc90880538"/>
      <w:r>
        <w:rPr>
          <w:rFonts w:hint="eastAsia" w:ascii="仿宋_GB2312" w:eastAsia="仿宋_GB2312"/>
          <w:b/>
          <w:sz w:val="36"/>
          <w:szCs w:val="20"/>
        </w:rPr>
        <w:t>第二章 发展基础和发展形势</w:t>
      </w:r>
      <w:bookmarkEnd w:id="5"/>
    </w:p>
    <w:p>
      <w:pPr>
        <w:outlineLvl w:val="1"/>
        <w:rPr>
          <w:rFonts w:ascii="仿宋_GB2312" w:eastAsia="仿宋_GB2312"/>
          <w:b/>
          <w:sz w:val="32"/>
        </w:rPr>
      </w:pPr>
      <w:bookmarkStart w:id="6" w:name="_Toc90880539"/>
      <w:r>
        <w:rPr>
          <w:rFonts w:hint="eastAsia" w:ascii="仿宋_GB2312" w:eastAsia="仿宋_GB2312"/>
          <w:b/>
          <w:sz w:val="32"/>
        </w:rPr>
        <w:t>一、</w:t>
      </w:r>
      <w:r>
        <w:rPr>
          <w:rFonts w:ascii="仿宋_GB2312" w:eastAsia="仿宋_GB2312"/>
          <w:b/>
          <w:sz w:val="32"/>
        </w:rPr>
        <w:t>发展</w:t>
      </w:r>
      <w:r>
        <w:rPr>
          <w:rFonts w:hint="eastAsia" w:ascii="仿宋_GB2312" w:eastAsia="仿宋_GB2312"/>
          <w:b/>
          <w:sz w:val="32"/>
        </w:rPr>
        <w:t>基础</w:t>
      </w:r>
      <w:bookmarkEnd w:id="6"/>
    </w:p>
    <w:p>
      <w:pPr>
        <w:ind w:firstLine="640" w:firstLineChars="200"/>
        <w:rPr>
          <w:rFonts w:ascii="仿宋_GB2312" w:eastAsia="仿宋_GB2312"/>
          <w:b/>
          <w:bCs/>
          <w:sz w:val="32"/>
        </w:rPr>
      </w:pPr>
      <w:r>
        <w:rPr>
          <w:rFonts w:hint="eastAsia" w:ascii="仿宋_GB2312" w:eastAsia="仿宋_GB2312"/>
          <w:sz w:val="32"/>
        </w:rPr>
        <w:t xml:space="preserve"> “十三五”期间桂林市严格落实粮食安全行政首长责任制，深入实施“藏粮于地、藏粮于技”战略，强化粮食生产保障，加强粮食宏观调控，提升粮食和物资储备水平和能力，取得了良好的发展成效。</w:t>
      </w:r>
    </w:p>
    <w:p>
      <w:pPr>
        <w:ind w:firstLine="643" w:firstLineChars="200"/>
        <w:rPr>
          <w:rFonts w:ascii="仿宋_GB2312" w:eastAsia="仿宋_GB2312"/>
          <w:sz w:val="32"/>
        </w:rPr>
      </w:pPr>
      <w:r>
        <w:rPr>
          <w:rFonts w:ascii="仿宋_GB2312" w:eastAsia="仿宋_GB2312"/>
          <w:b/>
          <w:bCs/>
          <w:sz w:val="32"/>
        </w:rPr>
        <w:t>粮食宏观调控体系不断完善</w:t>
      </w:r>
      <w:r>
        <w:rPr>
          <w:rFonts w:hint="eastAsia" w:ascii="仿宋_GB2312" w:eastAsia="仿宋_GB2312"/>
          <w:b/>
          <w:bCs/>
          <w:sz w:val="32"/>
        </w:rPr>
        <w:t>。</w:t>
      </w:r>
      <w:r>
        <w:rPr>
          <w:rFonts w:ascii="仿宋_GB2312" w:eastAsia="仿宋_GB2312"/>
          <w:sz w:val="32"/>
        </w:rPr>
        <w:t>初步建立市场调节、政府主导、反应灵活、运转高效、保障有力的粮食宏观调控体系。理顺部门职责，强化市场粮油价格监测</w:t>
      </w:r>
      <w:r>
        <w:rPr>
          <w:rFonts w:hint="eastAsia" w:ascii="仿宋_GB2312" w:eastAsia="仿宋_GB2312"/>
          <w:sz w:val="32"/>
        </w:rPr>
        <w:t>。加强粮食收购为宏观调控提供充足的粮源保障，“十三五”末全市年收购量在</w:t>
      </w:r>
      <w:r>
        <w:rPr>
          <w:rFonts w:ascii="仿宋_GB2312" w:eastAsia="仿宋_GB2312"/>
          <w:sz w:val="32"/>
        </w:rPr>
        <w:t>12万吨左右，约占</w:t>
      </w:r>
      <w:r>
        <w:rPr>
          <w:rFonts w:hint="eastAsia" w:ascii="仿宋_GB2312" w:eastAsia="仿宋_GB2312"/>
          <w:sz w:val="32"/>
        </w:rPr>
        <w:t>广西</w:t>
      </w:r>
      <w:r>
        <w:rPr>
          <w:rFonts w:ascii="仿宋_GB2312" w:eastAsia="仿宋_GB2312"/>
          <w:sz w:val="32"/>
        </w:rPr>
        <w:t>计划总量的15%。落实市县级粮食储备规模</w:t>
      </w:r>
      <w:r>
        <w:rPr>
          <w:rFonts w:hint="eastAsia" w:ascii="仿宋_GB2312" w:eastAsia="仿宋_GB2312"/>
          <w:sz w:val="32"/>
        </w:rPr>
        <w:t>，</w:t>
      </w:r>
      <w:r>
        <w:rPr>
          <w:rFonts w:ascii="仿宋_GB2312" w:eastAsia="仿宋_GB2312"/>
          <w:sz w:val="32"/>
        </w:rPr>
        <w:t>市、县（市、区）级地方粮食储备规模足额落实到位</w:t>
      </w:r>
      <w:r>
        <w:rPr>
          <w:rFonts w:hint="eastAsia" w:ascii="仿宋_GB2312" w:eastAsia="仿宋_GB2312"/>
          <w:sz w:val="32"/>
        </w:rPr>
        <w:t>，</w:t>
      </w:r>
      <w:r>
        <w:rPr>
          <w:rFonts w:ascii="仿宋_GB2312" w:eastAsia="仿宋_GB2312"/>
          <w:sz w:val="32"/>
        </w:rPr>
        <w:t>建立市本级应急成品粮油储备</w:t>
      </w:r>
      <w:r>
        <w:rPr>
          <w:rFonts w:hint="eastAsia" w:ascii="仿宋_GB2312" w:eastAsia="仿宋_GB2312"/>
          <w:sz w:val="32"/>
        </w:rPr>
        <w:t>，</w:t>
      </w:r>
      <w:r>
        <w:rPr>
          <w:rFonts w:ascii="仿宋_GB2312" w:eastAsia="仿宋_GB2312"/>
          <w:sz w:val="32"/>
        </w:rPr>
        <w:t>形成较为合理的储备布局和储备粮轮换抛售新机制。</w:t>
      </w:r>
      <w:r>
        <w:rPr>
          <w:rFonts w:hint="eastAsia" w:ascii="仿宋_GB2312" w:eastAsia="仿宋_GB2312"/>
          <w:sz w:val="32"/>
        </w:rPr>
        <w:t>增强粮食流通活力和余缺调剂能力，全市入统企业粮食年总购进</w:t>
      </w:r>
      <w:r>
        <w:rPr>
          <w:rFonts w:ascii="仿宋_GB2312" w:eastAsia="仿宋_GB2312"/>
          <w:sz w:val="32"/>
        </w:rPr>
        <w:t>160.20万吨（贸易粮，下同）左右，其中从市外采购粮食115.33万吨</w:t>
      </w:r>
      <w:r>
        <w:rPr>
          <w:rFonts w:hint="eastAsia" w:ascii="仿宋_GB2312" w:eastAsia="仿宋_GB2312"/>
          <w:sz w:val="32"/>
        </w:rPr>
        <w:t>、</w:t>
      </w:r>
      <w:r>
        <w:rPr>
          <w:rFonts w:ascii="仿宋_GB2312" w:eastAsia="仿宋_GB2312"/>
          <w:sz w:val="32"/>
        </w:rPr>
        <w:t>粮食总销售63.44万吨</w:t>
      </w:r>
      <w:r>
        <w:rPr>
          <w:rFonts w:hint="eastAsia" w:ascii="仿宋_GB2312" w:eastAsia="仿宋_GB2312"/>
          <w:sz w:val="32"/>
        </w:rPr>
        <w:t>、</w:t>
      </w:r>
      <w:r>
        <w:rPr>
          <w:rFonts w:ascii="仿宋_GB2312" w:eastAsia="仿宋_GB2312"/>
          <w:sz w:val="32"/>
        </w:rPr>
        <w:t>转化用粮149.61万吨。有力保障军粮供应，稳步推进军粮供应基础设施建设项目，军民融合步伐加快。</w:t>
      </w:r>
    </w:p>
    <w:p>
      <w:pPr>
        <w:pStyle w:val="11"/>
        <w:shd w:val="clear" w:color="auto" w:fill="FFFFFF"/>
        <w:spacing w:before="0" w:beforeAutospacing="0" w:after="0" w:afterAutospacing="0"/>
        <w:ind w:firstLine="480"/>
        <w:rPr>
          <w:rFonts w:ascii="仿宋_GB2312" w:eastAsia="仿宋_GB2312"/>
          <w:sz w:val="32"/>
        </w:rPr>
      </w:pPr>
      <w:r>
        <w:rPr>
          <w:rFonts w:hint="eastAsia" w:ascii="仿宋_GB2312" w:eastAsia="仿宋_GB2312"/>
          <w:b/>
          <w:bCs/>
          <w:sz w:val="32"/>
        </w:rPr>
        <w:t>粮食产业高质量发展稳步推进。</w:t>
      </w:r>
      <w:r>
        <w:rPr>
          <w:rFonts w:hint="eastAsia" w:ascii="仿宋_GB2312" w:eastAsia="仿宋_GB2312"/>
          <w:sz w:val="32"/>
        </w:rPr>
        <w:t>积极推行“优质粮食工程”“中国好粮油”“广西香米”等重点工程和品牌创建，粮食产业活力进一步释放。优化布局发展水稻、玉米、马铃薯“三大主粮”，大力实施国家优质粮食工程，重点建设国家级产粮大县和自治区粮源基地县（市）。加强粮食生产功能区建设，推进粮食生产功能区“退果还粮”、恢复双季稻生产，推广“水稻+”绿色高质高效生产模式，积极选育和推广水稻新品种，</w:t>
      </w:r>
      <w:r>
        <w:rPr>
          <w:rFonts w:ascii="仿宋_GB2312" w:eastAsia="仿宋_GB2312"/>
          <w:sz w:val="32"/>
        </w:rPr>
        <w:t>发展优质稻、富硒稻、超级稻，鼓励发展红薯、大豆、高</w:t>
      </w:r>
      <w:r>
        <w:rPr>
          <w:rFonts w:hint="eastAsia" w:ascii="仿宋_GB2312" w:eastAsia="仿宋_GB2312"/>
          <w:sz w:val="32"/>
        </w:rPr>
        <w:t>粱</w:t>
      </w:r>
      <w:r>
        <w:rPr>
          <w:rFonts w:ascii="仿宋_GB2312" w:eastAsia="仿宋_GB2312"/>
          <w:sz w:val="32"/>
        </w:rPr>
        <w:t>等小杂粮。</w:t>
      </w:r>
      <w:r>
        <w:rPr>
          <w:rFonts w:hint="eastAsia" w:ascii="仿宋_GB2312" w:eastAsia="仿宋_GB2312"/>
          <w:sz w:val="32"/>
        </w:rPr>
        <w:t>“十三五”末</w:t>
      </w:r>
      <w:r>
        <w:rPr>
          <w:rFonts w:ascii="仿宋_GB2312" w:eastAsia="仿宋_GB2312"/>
          <w:sz w:val="32"/>
        </w:rPr>
        <w:t>全市粮食播种面积33.73</w:t>
      </w:r>
      <w:r>
        <w:rPr>
          <w:rFonts w:hint="eastAsia" w:ascii="仿宋_GB2312" w:eastAsia="仿宋_GB2312"/>
          <w:sz w:val="32"/>
        </w:rPr>
        <w:t>万公顷（约占全区的1</w:t>
      </w:r>
      <w:r>
        <w:rPr>
          <w:rFonts w:ascii="仿宋_GB2312" w:eastAsia="仿宋_GB2312"/>
          <w:sz w:val="32"/>
        </w:rPr>
        <w:t>8.0</w:t>
      </w:r>
      <w:r>
        <w:rPr>
          <w:rFonts w:hint="eastAsia" w:ascii="仿宋_GB2312" w:eastAsia="仿宋_GB2312"/>
          <w:sz w:val="32"/>
        </w:rPr>
        <w:t>%）</w:t>
      </w:r>
      <w:r>
        <w:rPr>
          <w:rFonts w:ascii="仿宋_GB2312" w:eastAsia="仿宋_GB2312"/>
          <w:sz w:val="32"/>
        </w:rPr>
        <w:t>，粮食总产量176.93万吨</w:t>
      </w:r>
      <w:r>
        <w:rPr>
          <w:rFonts w:hint="eastAsia" w:ascii="仿宋_GB2312" w:eastAsia="仿宋_GB2312"/>
          <w:sz w:val="32"/>
        </w:rPr>
        <w:t>（约占全区的</w:t>
      </w:r>
      <w:r>
        <w:rPr>
          <w:rFonts w:ascii="仿宋_GB2312" w:eastAsia="仿宋_GB2312"/>
          <w:sz w:val="32"/>
        </w:rPr>
        <w:t>12.9</w:t>
      </w:r>
      <w:r>
        <w:rPr>
          <w:rFonts w:hint="eastAsia" w:ascii="仿宋_GB2312" w:eastAsia="仿宋_GB2312"/>
          <w:sz w:val="32"/>
        </w:rPr>
        <w:t>%）</w:t>
      </w:r>
      <w:r>
        <w:rPr>
          <w:rFonts w:ascii="仿宋_GB2312" w:eastAsia="仿宋_GB2312"/>
          <w:sz w:val="32"/>
        </w:rPr>
        <w:t>。</w:t>
      </w:r>
      <w:r>
        <w:rPr>
          <w:rFonts w:hint="eastAsia" w:ascii="仿宋_GB2312" w:eastAsia="仿宋_GB2312"/>
          <w:sz w:val="32"/>
        </w:rPr>
        <w:t>积极培育和引导粮食企业走产业化经营之路，</w:t>
      </w:r>
      <w:r>
        <w:rPr>
          <w:rFonts w:ascii="仿宋_GB2312" w:eastAsia="仿宋_GB2312"/>
          <w:sz w:val="32"/>
        </w:rPr>
        <w:t>“中国好粮油”项目建设顺利推进</w:t>
      </w:r>
      <w:r>
        <w:rPr>
          <w:rFonts w:hint="eastAsia" w:ascii="仿宋_GB2312" w:eastAsia="仿宋_GB2312"/>
          <w:sz w:val="32"/>
        </w:rPr>
        <w:t>，</w:t>
      </w:r>
      <w:r>
        <w:rPr>
          <w:rFonts w:ascii="仿宋_GB2312" w:eastAsia="仿宋_GB2312"/>
          <w:sz w:val="32"/>
        </w:rPr>
        <w:t>逐步实现粮食收购订单化、种植基地化、生产规模化、经营集约化，</w:t>
      </w:r>
      <w:r>
        <w:rPr>
          <w:rFonts w:hint="eastAsia" w:ascii="仿宋_GB2312" w:eastAsia="仿宋_GB2312"/>
          <w:sz w:val="32"/>
        </w:rPr>
        <w:t>全州县</w:t>
      </w:r>
      <w:r>
        <w:rPr>
          <w:rFonts w:ascii="仿宋_GB2312" w:eastAsia="仿宋_GB2312"/>
          <w:sz w:val="32"/>
        </w:rPr>
        <w:t>列入中国</w:t>
      </w:r>
      <w:r>
        <w:rPr>
          <w:rFonts w:hint="eastAsia" w:ascii="仿宋_GB2312" w:eastAsia="仿宋_GB2312"/>
          <w:sz w:val="32"/>
        </w:rPr>
        <w:t>好粮油行动示范县，桂林力源粮油食品集团公司列入中国好粮油行动示范企业</w:t>
      </w:r>
      <w:r>
        <w:rPr>
          <w:rFonts w:ascii="仿宋_GB2312" w:eastAsia="仿宋_GB2312"/>
          <w:sz w:val="32"/>
        </w:rPr>
        <w:t>。</w:t>
      </w:r>
      <w:r>
        <w:rPr>
          <w:rFonts w:hint="eastAsia" w:ascii="仿宋_GB2312" w:eastAsia="仿宋_GB2312"/>
          <w:sz w:val="32"/>
        </w:rPr>
        <w:t>主动融入新型农业经营体系，通过“公司</w:t>
      </w:r>
      <w:r>
        <w:rPr>
          <w:rFonts w:ascii="仿宋_GB2312" w:eastAsia="仿宋_GB2312"/>
          <w:sz w:val="32"/>
        </w:rPr>
        <w:t>+基地+农户”的模式，促进粮食产业化龙头企业的发展。粮食行业有</w:t>
      </w:r>
      <w:r>
        <w:rPr>
          <w:rFonts w:hint="eastAsia" w:ascii="仿宋_GB2312" w:eastAsia="仿宋_GB2312"/>
          <w:sz w:val="32"/>
        </w:rPr>
        <w:t>农业产业化国家重点龙头企业</w:t>
      </w:r>
      <w:r>
        <w:rPr>
          <w:rFonts w:ascii="仿宋_GB2312" w:eastAsia="仿宋_GB2312"/>
          <w:sz w:val="32"/>
        </w:rPr>
        <w:t>1</w:t>
      </w:r>
      <w:r>
        <w:rPr>
          <w:rFonts w:hint="eastAsia" w:ascii="仿宋_GB2312" w:eastAsia="仿宋_GB2312"/>
          <w:sz w:val="32"/>
        </w:rPr>
        <w:t>家，自治区农业产业化重点龙头企业</w:t>
      </w:r>
      <w:r>
        <w:rPr>
          <w:rFonts w:ascii="仿宋_GB2312" w:eastAsia="仿宋_GB2312"/>
          <w:sz w:val="32"/>
        </w:rPr>
        <w:t>3家。</w:t>
      </w:r>
    </w:p>
    <w:p>
      <w:pPr>
        <w:ind w:firstLine="643" w:firstLineChars="200"/>
        <w:rPr>
          <w:rFonts w:ascii="仿宋_GB2312" w:eastAsia="仿宋_GB2312"/>
          <w:sz w:val="32"/>
        </w:rPr>
      </w:pPr>
      <w:r>
        <w:rPr>
          <w:rFonts w:hint="eastAsia" w:ascii="仿宋_GB2312" w:eastAsia="仿宋_GB2312"/>
          <w:b/>
          <w:bCs/>
          <w:sz w:val="32"/>
        </w:rPr>
        <w:t>粮食仓储设施智能化和</w:t>
      </w:r>
      <w:r>
        <w:rPr>
          <w:rFonts w:ascii="仿宋_GB2312" w:eastAsia="仿宋_GB2312"/>
          <w:b/>
          <w:bCs/>
          <w:sz w:val="32"/>
        </w:rPr>
        <w:t>科学储粮水平</w:t>
      </w:r>
      <w:r>
        <w:rPr>
          <w:rFonts w:hint="eastAsia" w:ascii="仿宋_GB2312" w:eastAsia="仿宋_GB2312"/>
          <w:b/>
          <w:bCs/>
          <w:sz w:val="32"/>
        </w:rPr>
        <w:t>提升。</w:t>
      </w:r>
      <w:r>
        <w:rPr>
          <w:rFonts w:hint="eastAsia" w:ascii="仿宋_GB2312" w:eastAsia="仿宋_GB2312" w:cs="仿宋_GB2312" w:hAnsiTheme="minorHAnsi"/>
          <w:sz w:val="32"/>
          <w:szCs w:val="32"/>
        </w:rPr>
        <w:t>粮食流通能力进一步增强，强化粮食流通基础设施建设与管护，</w:t>
      </w:r>
      <w:r>
        <w:rPr>
          <w:rFonts w:hint="eastAsia" w:ascii="仿宋_GB2312" w:eastAsia="仿宋_GB2312"/>
          <w:sz w:val="32"/>
        </w:rPr>
        <w:t>粮食</w:t>
      </w:r>
      <w:r>
        <w:rPr>
          <w:rFonts w:hint="eastAsia" w:ascii="仿宋_GB2312" w:eastAsia="仿宋_GB2312" w:cs="仿宋_GB2312" w:hAnsiTheme="minorHAnsi"/>
          <w:sz w:val="32"/>
          <w:szCs w:val="32"/>
        </w:rPr>
        <w:t>行业数字化转型开始启动。</w:t>
      </w:r>
      <w:r>
        <w:rPr>
          <w:rFonts w:hint="eastAsia" w:ascii="仿宋_GB2312" w:eastAsia="仿宋_GB2312"/>
          <w:sz w:val="32"/>
        </w:rPr>
        <w:t>粮食储备体系进一步健全，优化储备布局和品种结构，地方储备粮“管得好、调得出、用得上”。全市有粮食储备库4</w:t>
      </w:r>
      <w:r>
        <w:rPr>
          <w:rFonts w:ascii="仿宋_GB2312" w:eastAsia="仿宋_GB2312"/>
          <w:sz w:val="32"/>
        </w:rPr>
        <w:t>7</w:t>
      </w:r>
      <w:r>
        <w:rPr>
          <w:rFonts w:hint="eastAsia" w:ascii="仿宋_GB2312" w:eastAsia="仿宋_GB2312"/>
          <w:sz w:val="32"/>
        </w:rPr>
        <w:t>家、肉类储备管理企业7家，其中列入桂林市政策性粮食承（存）储企业的有4</w:t>
      </w:r>
      <w:r>
        <w:rPr>
          <w:rFonts w:ascii="仿宋_GB2312" w:eastAsia="仿宋_GB2312"/>
          <w:sz w:val="32"/>
        </w:rPr>
        <w:t>2</w:t>
      </w:r>
      <w:r>
        <w:rPr>
          <w:rFonts w:hint="eastAsia" w:ascii="仿宋_GB2312" w:eastAsia="仿宋_GB2312"/>
          <w:sz w:val="32"/>
        </w:rPr>
        <w:t>家，为桂林市粮油、肉类及各类生活必需品提供了储备保障。积极改善仓储基础设施，“十三五”期间</w:t>
      </w:r>
      <w:r>
        <w:rPr>
          <w:rFonts w:ascii="仿宋_GB2312" w:eastAsia="仿宋_GB2312"/>
          <w:sz w:val="32"/>
        </w:rPr>
        <w:t>新建仓容6.25万吨</w:t>
      </w:r>
      <w:r>
        <w:rPr>
          <w:rFonts w:hint="eastAsia" w:ascii="仿宋_GB2312" w:eastAsia="仿宋_GB2312"/>
          <w:sz w:val="32"/>
        </w:rPr>
        <w:t>，</w:t>
      </w:r>
      <w:r>
        <w:rPr>
          <w:rFonts w:ascii="仿宋_GB2312" w:eastAsia="仿宋_GB2312"/>
          <w:sz w:val="32"/>
        </w:rPr>
        <w:t>至</w:t>
      </w:r>
      <w:r>
        <w:rPr>
          <w:rFonts w:hint="eastAsia" w:ascii="仿宋_GB2312" w:eastAsia="仿宋_GB2312"/>
          <w:sz w:val="32"/>
        </w:rPr>
        <w:t>2</w:t>
      </w:r>
      <w:r>
        <w:rPr>
          <w:rFonts w:ascii="仿宋_GB2312" w:eastAsia="仿宋_GB2312"/>
          <w:sz w:val="32"/>
        </w:rPr>
        <w:t>020年有标准仓容61.37万吨，其中完好仓容52.37万吨</w:t>
      </w:r>
      <w:r>
        <w:rPr>
          <w:rFonts w:hint="eastAsia" w:ascii="仿宋_GB2312" w:eastAsia="仿宋_GB2312"/>
          <w:sz w:val="32"/>
        </w:rPr>
        <w:t>。完成</w:t>
      </w:r>
      <w:r>
        <w:rPr>
          <w:rFonts w:ascii="仿宋_GB2312" w:eastAsia="仿宋_GB2312"/>
          <w:sz w:val="32"/>
        </w:rPr>
        <w:t>13个主要粮库</w:t>
      </w:r>
      <w:r>
        <w:rPr>
          <w:rFonts w:hint="eastAsia" w:ascii="仿宋_GB2312" w:eastAsia="仿宋_GB2312"/>
          <w:sz w:val="32"/>
        </w:rPr>
        <w:t>智能化升级改造，粮库信息化水平和科学储粮水平得到提升。</w:t>
      </w:r>
      <w:r>
        <w:rPr>
          <w:rFonts w:ascii="仿宋_GB2312" w:eastAsia="仿宋_GB2312"/>
          <w:sz w:val="32"/>
        </w:rPr>
        <w:t>产后服务体系建设不断加强</w:t>
      </w:r>
      <w:r>
        <w:rPr>
          <w:rFonts w:hint="eastAsia" w:ascii="仿宋_GB2312" w:eastAsia="仿宋_GB2312"/>
          <w:sz w:val="32"/>
        </w:rPr>
        <w:t>，</w:t>
      </w:r>
      <w:r>
        <w:rPr>
          <w:rFonts w:ascii="仿宋_GB2312" w:eastAsia="仿宋_GB2312"/>
          <w:sz w:val="32"/>
        </w:rPr>
        <w:t>建设粮食产后服务体系23个</w:t>
      </w:r>
      <w:r>
        <w:rPr>
          <w:rFonts w:hint="eastAsia" w:ascii="仿宋_GB2312" w:eastAsia="仿宋_GB2312"/>
          <w:sz w:val="32"/>
        </w:rPr>
        <w:t>，</w:t>
      </w:r>
      <w:r>
        <w:rPr>
          <w:rFonts w:ascii="仿宋_GB2312" w:eastAsia="仿宋_GB2312"/>
          <w:sz w:val="32"/>
        </w:rPr>
        <w:t>有效提高粮食代加工</w:t>
      </w:r>
      <w:r>
        <w:rPr>
          <w:rFonts w:hint="eastAsia" w:ascii="仿宋_GB2312" w:eastAsia="仿宋_GB2312"/>
          <w:sz w:val="32"/>
        </w:rPr>
        <w:t>、</w:t>
      </w:r>
      <w:r>
        <w:rPr>
          <w:rFonts w:ascii="仿宋_GB2312" w:eastAsia="仿宋_GB2312"/>
          <w:sz w:val="32"/>
        </w:rPr>
        <w:t>代清理、代烘干、代储存、代销售能力</w:t>
      </w:r>
      <w:r>
        <w:rPr>
          <w:rFonts w:hint="eastAsia" w:ascii="仿宋_GB2312" w:eastAsia="仿宋_GB2312"/>
          <w:sz w:val="32"/>
        </w:rPr>
        <w:t>，</w:t>
      </w:r>
      <w:r>
        <w:rPr>
          <w:rFonts w:ascii="仿宋_GB2312" w:eastAsia="仿宋_GB2312"/>
          <w:sz w:val="32"/>
        </w:rPr>
        <w:t>农户科学储粮项目基本完成。</w:t>
      </w:r>
    </w:p>
    <w:p>
      <w:pPr>
        <w:ind w:firstLine="643" w:firstLineChars="200"/>
        <w:rPr>
          <w:rFonts w:ascii="仿宋_GB2312" w:eastAsia="仿宋_GB2312"/>
          <w:sz w:val="32"/>
        </w:rPr>
      </w:pPr>
      <w:r>
        <w:rPr>
          <w:rFonts w:hint="eastAsia" w:ascii="仿宋_GB2312" w:eastAsia="仿宋_GB2312"/>
          <w:b/>
          <w:bCs/>
          <w:sz w:val="32"/>
        </w:rPr>
        <w:t>粮食安全监管和质检体系建设不断完善。</w:t>
      </w:r>
      <w:r>
        <w:rPr>
          <w:rFonts w:hint="eastAsia" w:ascii="仿宋_GB2312" w:eastAsia="仿宋_GB2312"/>
          <w:sz w:val="32"/>
        </w:rPr>
        <w:t>粮食安全责任进一步压实，有效形成分级负责、齐抓共管的工作格局。</w:t>
      </w:r>
      <w:r>
        <w:rPr>
          <w:rFonts w:hint="eastAsia" w:ascii="仿宋_GB2312" w:eastAsia="仿宋_GB2312" w:cs="仿宋_GB2312" w:hAnsiTheme="minorHAnsi"/>
          <w:sz w:val="32"/>
          <w:szCs w:val="32"/>
        </w:rPr>
        <w:t>行业治理能力进一步提高，依法管粮管储制度逐步建立。</w:t>
      </w:r>
      <w:r>
        <w:rPr>
          <w:rFonts w:hint="eastAsia" w:ascii="仿宋_GB2312" w:eastAsia="仿宋_GB2312"/>
          <w:sz w:val="32"/>
        </w:rPr>
        <w:t>按照“机构成网络、监测全覆盖、监管无盲区”要求，加大粮食质检体系建设，提升粮食质量安全防控能力。“十三五”期间共完成</w:t>
      </w:r>
      <w:r>
        <w:rPr>
          <w:rFonts w:ascii="仿宋_GB2312" w:eastAsia="仿宋_GB2312"/>
          <w:sz w:val="32"/>
        </w:rPr>
        <w:t>7个粮食质量检验机构建设（市级1个</w:t>
      </w:r>
      <w:r>
        <w:rPr>
          <w:rFonts w:hint="eastAsia" w:ascii="仿宋_GB2312" w:eastAsia="仿宋_GB2312"/>
          <w:sz w:val="32"/>
        </w:rPr>
        <w:t>、</w:t>
      </w:r>
      <w:r>
        <w:rPr>
          <w:rFonts w:ascii="仿宋_GB2312" w:eastAsia="仿宋_GB2312"/>
          <w:sz w:val="32"/>
        </w:rPr>
        <w:t>县级6个）</w:t>
      </w:r>
      <w:r>
        <w:rPr>
          <w:rFonts w:hint="eastAsia" w:ascii="仿宋_GB2312" w:eastAsia="仿宋_GB2312"/>
          <w:sz w:val="32"/>
        </w:rPr>
        <w:t>，</w:t>
      </w:r>
      <w:r>
        <w:rPr>
          <w:rFonts w:ascii="仿宋_GB2312" w:eastAsia="仿宋_GB2312"/>
          <w:sz w:val="32"/>
        </w:rPr>
        <w:t>建成检验机构办公及检验室总面积2805平方米，购买仪器设备513台（套）</w:t>
      </w:r>
      <w:r>
        <w:rPr>
          <w:rFonts w:hint="eastAsia" w:ascii="仿宋_GB2312" w:eastAsia="仿宋_GB2312"/>
          <w:sz w:val="32"/>
        </w:rPr>
        <w:t>、</w:t>
      </w:r>
      <w:r>
        <w:rPr>
          <w:rFonts w:ascii="仿宋_GB2312" w:eastAsia="仿宋_GB2312"/>
          <w:sz w:val="32"/>
        </w:rPr>
        <w:t>价值948万元，年均检验样品总数5349份。建立健全粮食流通监督检查工作</w:t>
      </w:r>
      <w:r>
        <w:rPr>
          <w:rFonts w:hint="eastAsia" w:ascii="仿宋_GB2312" w:eastAsia="仿宋_GB2312"/>
          <w:sz w:val="32"/>
        </w:rPr>
        <w:t>机制，提高粮食市场监管实效，全市粮食系统行政执法、</w:t>
      </w:r>
      <w:r>
        <w:rPr>
          <w:rFonts w:ascii="仿宋_GB2312" w:eastAsia="仿宋_GB2312"/>
          <w:sz w:val="32"/>
        </w:rPr>
        <w:t>粮食流通监督检查的执法督查（监督检查）人员、设备得到补强</w:t>
      </w:r>
      <w:r>
        <w:rPr>
          <w:rFonts w:hint="eastAsia" w:ascii="仿宋_GB2312" w:eastAsia="仿宋_GB2312"/>
          <w:sz w:val="32"/>
        </w:rPr>
        <w:t>，</w:t>
      </w:r>
      <w:r>
        <w:rPr>
          <w:rFonts w:ascii="仿宋_GB2312" w:eastAsia="仿宋_GB2312"/>
          <w:sz w:val="32"/>
        </w:rPr>
        <w:t>年均开展检查约150次、检查企业约550个次。</w:t>
      </w:r>
      <w:r>
        <w:rPr>
          <w:rFonts w:hint="eastAsia" w:ascii="仿宋_GB2312" w:eastAsia="仿宋_GB2312"/>
          <w:sz w:val="32"/>
        </w:rPr>
        <w:t>放心粮油工程建设成效明显，已建成“放心粮油”配送中心、示范店、经销店</w:t>
      </w:r>
      <w:r>
        <w:rPr>
          <w:rFonts w:ascii="仿宋_GB2312" w:eastAsia="仿宋_GB2312"/>
          <w:sz w:val="32"/>
        </w:rPr>
        <w:t>216家，初步建成了覆盖城乡、布局合理、设施完善、管理规范的放心粮油服务体系。</w:t>
      </w:r>
    </w:p>
    <w:p>
      <w:pPr>
        <w:ind w:firstLine="643" w:firstLineChars="200"/>
        <w:rPr>
          <w:rFonts w:ascii="仿宋_GB2312" w:eastAsia="仿宋_GB2312"/>
          <w:sz w:val="32"/>
        </w:rPr>
      </w:pPr>
      <w:r>
        <w:rPr>
          <w:rFonts w:hint="eastAsia" w:ascii="仿宋_GB2312" w:eastAsia="仿宋_GB2312"/>
          <w:b/>
          <w:bCs/>
          <w:sz w:val="32"/>
        </w:rPr>
        <w:t>物资储备和应急保障体系初步建立。</w:t>
      </w:r>
      <w:r>
        <w:rPr>
          <w:rFonts w:hint="eastAsia" w:ascii="仿宋_GB2312" w:eastAsia="仿宋_GB2312"/>
          <w:sz w:val="32"/>
        </w:rPr>
        <w:t>贯彻落实国家、自治区、桂林市关于粮食和物资储备工作的方针政策和决策部署，进行机构改革和职责分工调整，统筹整合物资储备和应急保障的有关职能。通过健全机制、完善制度、充实储备、新建设施，初步建立了物资储备体系，物资储备基础进一步夯实。</w:t>
      </w:r>
      <w:r>
        <w:rPr>
          <w:rFonts w:ascii="仿宋_GB2312" w:eastAsia="仿宋_GB2312"/>
          <w:sz w:val="32"/>
        </w:rPr>
        <w:t>进一步完善粮食应急供应体系</w:t>
      </w:r>
      <w:r>
        <w:rPr>
          <w:rFonts w:hint="eastAsia" w:ascii="仿宋_GB2312" w:eastAsia="仿宋_GB2312" w:cs="仿宋_GB2312" w:hAnsiTheme="minorHAnsi"/>
          <w:sz w:val="32"/>
          <w:szCs w:val="32"/>
        </w:rPr>
        <w:t>，</w:t>
      </w:r>
      <w:r>
        <w:rPr>
          <w:rFonts w:ascii="仿宋_GB2312" w:eastAsia="仿宋_GB2312"/>
          <w:sz w:val="32"/>
        </w:rPr>
        <w:t>强化粮食应急加工和供应网点</w:t>
      </w:r>
      <w:r>
        <w:rPr>
          <w:rFonts w:hint="eastAsia" w:ascii="仿宋_GB2312" w:eastAsia="仿宋_GB2312"/>
          <w:sz w:val="32"/>
        </w:rPr>
        <w:t>建设，</w:t>
      </w:r>
      <w:r>
        <w:rPr>
          <w:rFonts w:hint="eastAsia" w:ascii="仿宋_GB2312" w:eastAsia="仿宋_GB2312" w:cs="仿宋_GB2312" w:hAnsiTheme="minorHAnsi"/>
          <w:sz w:val="32"/>
          <w:szCs w:val="32"/>
        </w:rPr>
        <w:t>建立了应急成品粮油储备</w:t>
      </w:r>
      <w:r>
        <w:rPr>
          <w:rFonts w:ascii="仿宋_GB2312" w:eastAsia="仿宋_GB2312"/>
          <w:sz w:val="32"/>
        </w:rPr>
        <w:t>，</w:t>
      </w:r>
      <w:r>
        <w:rPr>
          <w:rFonts w:hint="eastAsia" w:ascii="仿宋_GB2312" w:eastAsia="仿宋_GB2312" w:cs="仿宋_GB2312" w:hAnsiTheme="minorHAnsi"/>
          <w:sz w:val="32"/>
          <w:szCs w:val="32"/>
        </w:rPr>
        <w:t>粮食保供能力进一步提升，应急保障能力得到全面提升。</w:t>
      </w:r>
      <w:r>
        <w:rPr>
          <w:rFonts w:hint="eastAsia" w:ascii="仿宋_GB2312" w:eastAsia="仿宋_GB2312"/>
          <w:sz w:val="32"/>
        </w:rPr>
        <w:t>至2</w:t>
      </w:r>
      <w:r>
        <w:rPr>
          <w:rFonts w:ascii="仿宋_GB2312" w:eastAsia="仿宋_GB2312"/>
          <w:sz w:val="32"/>
        </w:rPr>
        <w:t>020年签订粮食应急加工企业7家</w:t>
      </w:r>
      <w:r>
        <w:rPr>
          <w:rFonts w:hint="eastAsia" w:ascii="仿宋_GB2312" w:eastAsia="仿宋_GB2312"/>
          <w:sz w:val="32"/>
        </w:rPr>
        <w:t>、</w:t>
      </w:r>
      <w:r>
        <w:rPr>
          <w:rFonts w:ascii="仿宋_GB2312" w:eastAsia="仿宋_GB2312"/>
          <w:sz w:val="32"/>
        </w:rPr>
        <w:t>粮食应急供应网点34个</w:t>
      </w:r>
      <w:r>
        <w:rPr>
          <w:rFonts w:hint="eastAsia" w:ascii="仿宋_GB2312" w:eastAsia="仿宋_GB2312"/>
          <w:sz w:val="32"/>
        </w:rPr>
        <w:t>、</w:t>
      </w:r>
      <w:r>
        <w:rPr>
          <w:rFonts w:ascii="仿宋_GB2312" w:eastAsia="仿宋_GB2312"/>
          <w:sz w:val="32"/>
        </w:rPr>
        <w:t>粮油监测点17个。</w:t>
      </w:r>
    </w:p>
    <w:p>
      <w:pPr>
        <w:ind w:firstLine="640" w:firstLineChars="200"/>
        <w:rPr>
          <w:rFonts w:ascii="仿宋_GB2312" w:eastAsia="仿宋_GB2312"/>
          <w:sz w:val="32"/>
        </w:rPr>
      </w:pPr>
      <w:r>
        <w:rPr>
          <w:rFonts w:hint="eastAsia" w:ascii="仿宋_GB2312" w:eastAsia="仿宋_GB2312"/>
          <w:sz w:val="32"/>
        </w:rPr>
        <w:t>“十三五”期间在粮食和物资储备行业深化改革、转型发展过程中，由于粮食供求阶段性结构性矛盾、粮食和物资储备职能转变以及外部发展环境的多变，桂林市粮食和物资储备行业发展也存在一些困难和不足。</w:t>
      </w:r>
    </w:p>
    <w:p>
      <w:pPr>
        <w:ind w:firstLine="643" w:firstLineChars="200"/>
        <w:rPr>
          <w:rFonts w:ascii="楷体_GB2312" w:eastAsia="楷体_GB2312"/>
          <w:b/>
          <w:sz w:val="28"/>
        </w:rPr>
      </w:pPr>
      <w:r>
        <w:rPr>
          <w:rFonts w:hint="eastAsia" w:ascii="仿宋_GB2312" w:eastAsia="仿宋_GB2312"/>
          <w:b/>
          <w:bCs/>
          <w:sz w:val="32"/>
        </w:rPr>
        <w:t>粮食生产的基础还需进一步夯实。</w:t>
      </w:r>
      <w:r>
        <w:rPr>
          <w:rFonts w:hint="eastAsia" w:ascii="仿宋_GB2312" w:eastAsia="仿宋_GB2312"/>
          <w:sz w:val="32"/>
        </w:rPr>
        <w:t>“十三五”期间桂林市全市粮食播种面积、</w:t>
      </w:r>
      <w:r>
        <w:rPr>
          <w:rFonts w:ascii="仿宋_GB2312" w:eastAsia="仿宋_GB2312"/>
          <w:sz w:val="32"/>
        </w:rPr>
        <w:t>粮食总产量</w:t>
      </w:r>
      <w:r>
        <w:rPr>
          <w:rFonts w:hint="eastAsia" w:ascii="仿宋_GB2312" w:eastAsia="仿宋_GB2312"/>
          <w:sz w:val="32"/>
        </w:rPr>
        <w:t>总体呈下滑趋势，仅2</w:t>
      </w:r>
      <w:r>
        <w:rPr>
          <w:rFonts w:ascii="仿宋_GB2312" w:eastAsia="仿宋_GB2312"/>
          <w:sz w:val="32"/>
        </w:rPr>
        <w:t>020</w:t>
      </w:r>
      <w:r>
        <w:rPr>
          <w:rFonts w:hint="eastAsia" w:ascii="仿宋_GB2312" w:eastAsia="仿宋_GB2312"/>
          <w:sz w:val="32"/>
        </w:rPr>
        <w:t>年略有增长；同时，平均亩产量除了2</w:t>
      </w:r>
      <w:r>
        <w:rPr>
          <w:rFonts w:ascii="仿宋_GB2312" w:eastAsia="仿宋_GB2312"/>
          <w:sz w:val="32"/>
        </w:rPr>
        <w:t>016</w:t>
      </w:r>
      <w:r>
        <w:rPr>
          <w:rFonts w:hint="eastAsia" w:ascii="仿宋_GB2312" w:eastAsia="仿宋_GB2312"/>
          <w:sz w:val="32"/>
        </w:rPr>
        <w:t>年、2</w:t>
      </w:r>
      <w:r>
        <w:rPr>
          <w:rFonts w:ascii="仿宋_GB2312" w:eastAsia="仿宋_GB2312"/>
          <w:sz w:val="32"/>
        </w:rPr>
        <w:t>020</w:t>
      </w:r>
      <w:r>
        <w:rPr>
          <w:rFonts w:hint="eastAsia" w:ascii="仿宋_GB2312" w:eastAsia="仿宋_GB2312"/>
          <w:sz w:val="32"/>
        </w:rPr>
        <w:t>年略有上升外，也持续下降。“十三五”末的2</w:t>
      </w:r>
      <w:r>
        <w:rPr>
          <w:rFonts w:ascii="仿宋_GB2312" w:eastAsia="仿宋_GB2312"/>
          <w:sz w:val="32"/>
        </w:rPr>
        <w:t>020</w:t>
      </w:r>
      <w:r>
        <w:rPr>
          <w:rFonts w:hint="eastAsia" w:ascii="仿宋_GB2312" w:eastAsia="仿宋_GB2312"/>
          <w:sz w:val="32"/>
        </w:rPr>
        <w:t>年，相对于“十二五”末的2</w:t>
      </w:r>
      <w:r>
        <w:rPr>
          <w:rFonts w:ascii="仿宋_GB2312" w:eastAsia="仿宋_GB2312"/>
          <w:sz w:val="32"/>
        </w:rPr>
        <w:t>015</w:t>
      </w:r>
      <w:r>
        <w:rPr>
          <w:rFonts w:hint="eastAsia" w:ascii="仿宋_GB2312" w:eastAsia="仿宋_GB2312"/>
          <w:sz w:val="32"/>
        </w:rPr>
        <w:t>年，全市粮食播种面积、</w:t>
      </w:r>
      <w:r>
        <w:rPr>
          <w:rFonts w:ascii="仿宋_GB2312" w:eastAsia="仿宋_GB2312"/>
          <w:sz w:val="32"/>
        </w:rPr>
        <w:t>粮食总产量</w:t>
      </w:r>
      <w:r>
        <w:rPr>
          <w:rFonts w:hint="eastAsia" w:ascii="仿宋_GB2312" w:eastAsia="仿宋_GB2312"/>
          <w:sz w:val="32"/>
        </w:rPr>
        <w:t>、平均亩产量分别减少了4</w:t>
      </w:r>
      <w:r>
        <w:rPr>
          <w:rFonts w:ascii="仿宋_GB2312" w:eastAsia="仿宋_GB2312"/>
          <w:sz w:val="32"/>
        </w:rPr>
        <w:t>.31</w:t>
      </w:r>
      <w:r>
        <w:rPr>
          <w:rFonts w:hint="eastAsia" w:ascii="仿宋_GB2312" w:eastAsia="仿宋_GB2312"/>
          <w:sz w:val="32"/>
        </w:rPr>
        <w:t>万公顷、</w:t>
      </w:r>
      <w:r>
        <w:rPr>
          <w:rFonts w:ascii="仿宋_GB2312" w:eastAsia="仿宋_GB2312"/>
          <w:sz w:val="32"/>
        </w:rPr>
        <w:t>29</w:t>
      </w:r>
      <w:r>
        <w:rPr>
          <w:rFonts w:hint="eastAsia" w:ascii="仿宋_GB2312" w:eastAsia="仿宋_GB2312"/>
          <w:sz w:val="32"/>
        </w:rPr>
        <w:t>.</w:t>
      </w:r>
      <w:r>
        <w:rPr>
          <w:rFonts w:ascii="仿宋_GB2312" w:eastAsia="仿宋_GB2312"/>
          <w:sz w:val="32"/>
        </w:rPr>
        <w:t>36</w:t>
      </w:r>
      <w:r>
        <w:rPr>
          <w:rFonts w:hint="eastAsia" w:ascii="仿宋_GB2312" w:eastAsia="仿宋_GB2312"/>
          <w:sz w:val="32"/>
        </w:rPr>
        <w:t>万吨、</w:t>
      </w:r>
      <w:r>
        <w:rPr>
          <w:rFonts w:ascii="仿宋_GB2312" w:eastAsia="仿宋_GB2312"/>
          <w:sz w:val="32"/>
        </w:rPr>
        <w:t>11.8</w:t>
      </w:r>
      <w:r>
        <w:rPr>
          <w:rFonts w:hint="eastAsia" w:ascii="仿宋_GB2312" w:eastAsia="仿宋_GB2312"/>
          <w:sz w:val="32"/>
        </w:rPr>
        <w:t>公斤，下降幅度分别为1</w:t>
      </w:r>
      <w:r>
        <w:rPr>
          <w:rFonts w:ascii="仿宋_GB2312" w:eastAsia="仿宋_GB2312"/>
          <w:sz w:val="32"/>
        </w:rPr>
        <w:t>1.3</w:t>
      </w:r>
      <w:r>
        <w:rPr>
          <w:rFonts w:hint="eastAsia" w:ascii="仿宋_GB2312" w:eastAsia="仿宋_GB2312"/>
          <w:sz w:val="32"/>
        </w:rPr>
        <w:t>%、1</w:t>
      </w:r>
      <w:r>
        <w:rPr>
          <w:rFonts w:ascii="仿宋_GB2312" w:eastAsia="仿宋_GB2312"/>
          <w:sz w:val="32"/>
        </w:rPr>
        <w:t>4.2</w:t>
      </w:r>
      <w:r>
        <w:rPr>
          <w:rFonts w:hint="eastAsia" w:ascii="仿宋_GB2312" w:eastAsia="仿宋_GB2312"/>
          <w:sz w:val="32"/>
        </w:rPr>
        <w:t>%、3</w:t>
      </w:r>
      <w:r>
        <w:rPr>
          <w:rFonts w:ascii="仿宋_GB2312" w:eastAsia="仿宋_GB2312"/>
          <w:sz w:val="32"/>
        </w:rPr>
        <w:t>.3</w:t>
      </w:r>
      <w:r>
        <w:rPr>
          <w:rFonts w:hint="eastAsia" w:ascii="仿宋_GB2312" w:eastAsia="仿宋_GB2312"/>
          <w:sz w:val="32"/>
        </w:rPr>
        <w:t>%</w:t>
      </w:r>
      <w:r>
        <w:rPr>
          <w:rFonts w:ascii="仿宋_GB2312" w:eastAsia="仿宋_GB2312"/>
          <w:sz w:val="32"/>
        </w:rPr>
        <w:t>。</w:t>
      </w:r>
      <w:r>
        <w:rPr>
          <w:rFonts w:hint="eastAsia" w:ascii="仿宋_GB2312" w:eastAsia="仿宋_GB2312"/>
          <w:sz w:val="32"/>
        </w:rPr>
        <w:t>2</w:t>
      </w:r>
      <w:r>
        <w:rPr>
          <w:rFonts w:ascii="仿宋_GB2312" w:eastAsia="仿宋_GB2312"/>
          <w:sz w:val="32"/>
        </w:rPr>
        <w:t>020</w:t>
      </w:r>
      <w:r>
        <w:rPr>
          <w:rFonts w:hint="eastAsia" w:ascii="仿宋_GB2312" w:eastAsia="仿宋_GB2312"/>
          <w:sz w:val="32"/>
        </w:rPr>
        <w:t>年桂林市粮食生产平均亩产量为</w:t>
      </w:r>
      <w:r>
        <w:rPr>
          <w:rFonts w:ascii="仿宋_GB2312" w:eastAsia="仿宋_GB2312"/>
          <w:sz w:val="32"/>
        </w:rPr>
        <w:t>349.4公斤，虽然高于广西</w:t>
      </w:r>
      <w:r>
        <w:rPr>
          <w:rFonts w:hint="eastAsia" w:ascii="仿宋_GB2312" w:eastAsia="仿宋_GB2312"/>
          <w:sz w:val="32"/>
        </w:rPr>
        <w:t>3</w:t>
      </w:r>
      <w:r>
        <w:rPr>
          <w:rFonts w:ascii="仿宋_GB2312" w:eastAsia="仿宋_GB2312"/>
          <w:sz w:val="32"/>
        </w:rPr>
        <w:t>25.5公斤/亩的水平，但仍低于全国382</w:t>
      </w:r>
      <w:r>
        <w:rPr>
          <w:rFonts w:hint="eastAsia" w:ascii="仿宋_GB2312" w:eastAsia="仿宋_GB2312"/>
          <w:sz w:val="32"/>
        </w:rPr>
        <w:t>.2</w:t>
      </w:r>
      <w:r>
        <w:rPr>
          <w:rFonts w:ascii="仿宋_GB2312" w:eastAsia="仿宋_GB2312"/>
          <w:sz w:val="32"/>
        </w:rPr>
        <w:t>公斤/亩的水平。</w:t>
      </w:r>
    </w:p>
    <w:p>
      <w:pPr>
        <w:ind w:firstLine="643" w:firstLineChars="200"/>
        <w:rPr>
          <w:rFonts w:ascii="仿宋_GB2312" w:eastAsia="仿宋_GB2312"/>
          <w:sz w:val="32"/>
        </w:rPr>
      </w:pPr>
      <w:r>
        <w:rPr>
          <w:rFonts w:hint="eastAsia" w:ascii="仿宋_GB2312" w:eastAsia="仿宋_GB2312"/>
          <w:b/>
          <w:bCs/>
          <w:sz w:val="32"/>
        </w:rPr>
        <w:t>粮食安全保障体系还有待加强。</w:t>
      </w:r>
      <w:r>
        <w:rPr>
          <w:rFonts w:hint="eastAsia" w:ascii="仿宋_GB2312" w:eastAsia="仿宋_GB2312"/>
          <w:sz w:val="32"/>
        </w:rPr>
        <w:t>粮食储备规模与国民经济社会发展还存在一定的差距，粮食应急保障网络还有待加强；储备粮保障范围还需进一步明确，储备粮轮换统一协调保障机制还需进一步加强，粮食市场监测体系还有待完善。</w:t>
      </w:r>
    </w:p>
    <w:p>
      <w:pPr>
        <w:ind w:firstLine="643" w:firstLineChars="200"/>
        <w:rPr>
          <w:rFonts w:ascii="仿宋_GB2312" w:eastAsia="仿宋_GB2312"/>
          <w:sz w:val="32"/>
        </w:rPr>
      </w:pPr>
      <w:r>
        <w:rPr>
          <w:rFonts w:hint="eastAsia" w:ascii="仿宋_GB2312" w:eastAsia="仿宋_GB2312"/>
          <w:b/>
          <w:bCs/>
          <w:sz w:val="32"/>
        </w:rPr>
        <w:t>应急物资储备体系还不够完善。</w:t>
      </w:r>
      <w:r>
        <w:rPr>
          <w:rFonts w:hint="eastAsia" w:ascii="仿宋_GB2312" w:eastAsia="仿宋_GB2312"/>
          <w:sz w:val="32"/>
        </w:rPr>
        <w:t>物资储备管理体制机制还没有完全理顺，相关制度还需进一步完善。物资储备的基础设施、人才队伍、资金投入均需进一步充实和加强，储备物资的数量、品种、规模、结构等，还需进一步明确并加以落实。</w:t>
      </w:r>
      <w:r>
        <w:rPr>
          <w:rFonts w:ascii="仿宋_GB2312" w:eastAsia="仿宋_GB2312"/>
          <w:sz w:val="32"/>
        </w:rPr>
        <w:t xml:space="preserve"> </w:t>
      </w:r>
    </w:p>
    <w:p>
      <w:pPr>
        <w:ind w:firstLine="643" w:firstLineChars="200"/>
        <w:rPr>
          <w:rFonts w:ascii="仿宋_GB2312" w:eastAsia="仿宋_GB2312"/>
          <w:sz w:val="32"/>
        </w:rPr>
      </w:pPr>
      <w:r>
        <w:rPr>
          <w:rFonts w:ascii="仿宋_GB2312" w:eastAsia="仿宋_GB2312"/>
          <w:b/>
          <w:bCs/>
          <w:sz w:val="32"/>
        </w:rPr>
        <w:t>粮食市场培育力度不够。</w:t>
      </w:r>
      <w:r>
        <w:rPr>
          <w:rFonts w:ascii="仿宋_GB2312" w:eastAsia="仿宋_GB2312"/>
          <w:sz w:val="32"/>
        </w:rPr>
        <w:t>桂林区域性物流节点作用</w:t>
      </w:r>
      <w:r>
        <w:rPr>
          <w:rFonts w:hint="eastAsia" w:ascii="仿宋_GB2312" w:eastAsia="仿宋_GB2312"/>
          <w:sz w:val="32"/>
        </w:rPr>
        <w:t>尚未</w:t>
      </w:r>
      <w:r>
        <w:rPr>
          <w:rFonts w:ascii="仿宋_GB2312" w:eastAsia="仿宋_GB2312"/>
          <w:sz w:val="32"/>
        </w:rPr>
        <w:t>充分发挥，</w:t>
      </w:r>
      <w:r>
        <w:rPr>
          <w:rFonts w:hint="eastAsia" w:ascii="仿宋_GB2312" w:eastAsia="仿宋_GB2312"/>
          <w:sz w:val="32"/>
        </w:rPr>
        <w:t>没有</w:t>
      </w:r>
      <w:r>
        <w:rPr>
          <w:rFonts w:ascii="仿宋_GB2312" w:eastAsia="仿宋_GB2312"/>
          <w:sz w:val="32"/>
        </w:rPr>
        <w:t>建立有效</w:t>
      </w:r>
      <w:r>
        <w:rPr>
          <w:rFonts w:hint="eastAsia" w:ascii="仿宋_GB2312" w:eastAsia="仿宋_GB2312"/>
          <w:sz w:val="32"/>
        </w:rPr>
        <w:t>辐射</w:t>
      </w:r>
      <w:r>
        <w:rPr>
          <w:rFonts w:ascii="仿宋_GB2312" w:eastAsia="仿宋_GB2312"/>
          <w:sz w:val="32"/>
        </w:rPr>
        <w:t>周边省、市、县的粮食物流批发市场，利用国际、国内两个市场保障我市粮食安全的能力不强。粮食规模企业偏少，整体水平偏低，发展不平衡。全市纳入统计的粮食产业企业，主要以大米和饲料加工为主,两者占统计企业总数的88.5%。相当一部分粮油加工企业都是分布散、规模小、利润</w:t>
      </w:r>
      <w:bookmarkStart w:id="81" w:name="_GoBack"/>
      <w:bookmarkEnd w:id="81"/>
      <w:r>
        <w:rPr>
          <w:rFonts w:ascii="仿宋_GB2312" w:eastAsia="仿宋_GB2312"/>
          <w:sz w:val="32"/>
        </w:rPr>
        <w:t>薄，特别是个体大米加工企业规模小，没有自己的品牌，加工设备和技术落后，科技创新能力不强，优质精深加工和产业化程度较低，加工转化率和附加值不高，辐射带动能力和市场竞争</w:t>
      </w:r>
      <w:r>
        <w:rPr>
          <w:rFonts w:hint="eastAsia" w:ascii="仿宋_GB2312" w:eastAsia="仿宋_GB2312"/>
          <w:sz w:val="32"/>
        </w:rPr>
        <w:t>能力不强。同时，行业信息化、网络化利用率不高，利用“互联网</w:t>
      </w:r>
      <w:r>
        <w:rPr>
          <w:rFonts w:ascii="仿宋_GB2312" w:eastAsia="仿宋_GB2312"/>
          <w:sz w:val="32"/>
        </w:rPr>
        <w:t>+”搞活流通经营的能力不够。</w:t>
      </w:r>
    </w:p>
    <w:p>
      <w:pPr>
        <w:ind w:firstLine="643" w:firstLineChars="200"/>
        <w:rPr>
          <w:rFonts w:ascii="仿宋_GB2312" w:eastAsia="仿宋_GB2312"/>
          <w:sz w:val="32"/>
        </w:rPr>
      </w:pPr>
      <w:r>
        <w:rPr>
          <w:rFonts w:hint="eastAsia" w:ascii="仿宋_GB2312" w:eastAsia="仿宋_GB2312"/>
          <w:b/>
          <w:bCs/>
          <w:sz w:val="32"/>
        </w:rPr>
        <w:t>粮食流通基础设施建设有待完善。</w:t>
      </w:r>
      <w:r>
        <w:rPr>
          <w:rFonts w:hint="eastAsia" w:ascii="仿宋_GB2312" w:eastAsia="仿宋_GB2312"/>
          <w:sz w:val="32"/>
        </w:rPr>
        <w:t>现有仓容完好仓容率达</w:t>
      </w:r>
      <w:r>
        <w:rPr>
          <w:rFonts w:ascii="仿宋_GB2312" w:eastAsia="仿宋_GB2312"/>
          <w:sz w:val="32"/>
        </w:rPr>
        <w:t>89.7%，高于全区平均86.3%的水平，但其</w:t>
      </w:r>
      <w:r>
        <w:rPr>
          <w:rFonts w:hint="eastAsia" w:ascii="仿宋_GB2312" w:eastAsia="仿宋_GB2312"/>
          <w:sz w:val="32"/>
        </w:rPr>
        <w:t>中</w:t>
      </w:r>
      <w:r>
        <w:rPr>
          <w:rFonts w:ascii="仿宋_GB2312" w:eastAsia="仿宋_GB2312"/>
          <w:sz w:val="32"/>
        </w:rPr>
        <w:t>一半以上的仓房是2000年之前所建，苏式仓居多。仓房陈旧、破损严重，气密性差、点多面广、规模小，利用率低，维修保养难度极大，现代储粮科技应用和仓储</w:t>
      </w:r>
      <w:r>
        <w:rPr>
          <w:rFonts w:hint="eastAsia" w:ascii="仿宋_GB2312" w:eastAsia="仿宋_GB2312"/>
          <w:sz w:val="32"/>
        </w:rPr>
        <w:t>智能化水平还不高</w:t>
      </w:r>
      <w:r>
        <w:rPr>
          <w:rFonts w:ascii="仿宋_GB2312" w:eastAsia="仿宋_GB2312"/>
          <w:sz w:val="32"/>
        </w:rPr>
        <w:t>。</w:t>
      </w:r>
    </w:p>
    <w:p>
      <w:pPr>
        <w:ind w:firstLine="643" w:firstLineChars="200"/>
        <w:rPr>
          <w:rFonts w:ascii="仿宋_GB2312" w:eastAsia="仿宋_GB2312"/>
          <w:sz w:val="32"/>
        </w:rPr>
      </w:pPr>
      <w:r>
        <w:rPr>
          <w:rFonts w:hint="eastAsia" w:ascii="仿宋_GB2312" w:eastAsia="仿宋_GB2312"/>
          <w:b/>
          <w:bCs/>
          <w:sz w:val="32"/>
        </w:rPr>
        <w:t>粮储系统人才队伍建设亟需加强。</w:t>
      </w:r>
      <w:r>
        <w:rPr>
          <w:rFonts w:hint="eastAsia" w:ascii="仿宋_GB2312" w:eastAsia="仿宋_GB2312"/>
          <w:sz w:val="32"/>
        </w:rPr>
        <w:t>粮储系统人才基本承接自机构改革前的工作人员，队伍老化现象严重，</w:t>
      </w:r>
      <w:r>
        <w:rPr>
          <w:rFonts w:ascii="仿宋_GB2312" w:eastAsia="仿宋_GB2312"/>
          <w:sz w:val="32"/>
        </w:rPr>
        <w:t>50岁以上甚至邻近退休年龄的人员数量多，人员年龄</w:t>
      </w:r>
      <w:r>
        <w:rPr>
          <w:rFonts w:hint="eastAsia" w:ascii="仿宋_GB2312" w:eastAsia="仿宋_GB2312"/>
          <w:sz w:val="32"/>
        </w:rPr>
        <w:t>结构不合理、知识结构相对陈旧。现有从业人员知识层次偏低，大学专科以上学历人员少，且有相当比例的专科以上学历不是第一学历和国家计划统一招收的国民教育序列学历，所学专业与粮食行业紧密相关的粮食储藏、粮食工程、经济管理、信息技术等专业极少。受历史原因及经营困难影响，人才培养和引进受限，大多数粮食企业处于求生存阶段，留住人才难，培养人才难，引进人才更难。全行业高技能年轻人才少、专业人才缺乏，严重制约粮食和物资储备行业高质量发展。</w:t>
      </w:r>
    </w:p>
    <w:p>
      <w:pPr>
        <w:ind w:firstLine="640" w:firstLineChars="200"/>
        <w:rPr>
          <w:rFonts w:ascii="仿宋_GB2312" w:eastAsia="仿宋_GB2312"/>
          <w:sz w:val="32"/>
        </w:rPr>
      </w:pPr>
    </w:p>
    <w:p>
      <w:pPr>
        <w:outlineLvl w:val="1"/>
        <w:rPr>
          <w:rFonts w:ascii="仿宋_GB2312" w:eastAsia="仿宋_GB2312"/>
          <w:b/>
          <w:sz w:val="32"/>
        </w:rPr>
      </w:pPr>
      <w:bookmarkStart w:id="7" w:name="_Toc90880540"/>
      <w:r>
        <w:rPr>
          <w:rFonts w:hint="eastAsia" w:ascii="仿宋_GB2312" w:eastAsia="仿宋_GB2312"/>
          <w:b/>
          <w:sz w:val="32"/>
        </w:rPr>
        <w:t>二、</w:t>
      </w:r>
      <w:r>
        <w:rPr>
          <w:rFonts w:ascii="仿宋_GB2312" w:eastAsia="仿宋_GB2312"/>
          <w:b/>
          <w:sz w:val="32"/>
        </w:rPr>
        <w:t>发展</w:t>
      </w:r>
      <w:r>
        <w:rPr>
          <w:rFonts w:hint="eastAsia" w:ascii="仿宋_GB2312" w:eastAsia="仿宋_GB2312"/>
          <w:b/>
          <w:sz w:val="32"/>
        </w:rPr>
        <w:t>形势</w:t>
      </w:r>
      <w:bookmarkEnd w:id="7"/>
    </w:p>
    <w:p>
      <w:pPr>
        <w:ind w:firstLine="640" w:firstLineChars="200"/>
        <w:rPr>
          <w:rFonts w:ascii="仿宋_GB2312" w:eastAsia="仿宋_GB2312"/>
          <w:bCs/>
          <w:sz w:val="32"/>
        </w:rPr>
      </w:pPr>
      <w:r>
        <w:rPr>
          <w:rFonts w:hint="eastAsia" w:ascii="仿宋_GB2312" w:eastAsia="仿宋_GB2312"/>
          <w:bCs/>
          <w:sz w:val="32"/>
        </w:rPr>
        <w:t>“十四五”时期是我国粮食和物资储备安全重要性的凸显期、“深化改革、转型发展”的重要机遇期、治理体系和治理能力现代化的攻坚期。立足新发展阶段，贯彻新发展理念，构建新发展格局，桂林粮食和物资储备行业高质量发展面临新形势。</w:t>
      </w:r>
    </w:p>
    <w:p>
      <w:pPr>
        <w:ind w:firstLine="643" w:firstLineChars="200"/>
        <w:rPr>
          <w:rFonts w:ascii="仿宋_GB2312" w:eastAsia="仿宋_GB2312"/>
          <w:sz w:val="32"/>
        </w:rPr>
      </w:pPr>
      <w:r>
        <w:rPr>
          <w:rFonts w:hint="eastAsia" w:ascii="仿宋_GB2312" w:eastAsia="仿宋_GB2312"/>
          <w:b/>
          <w:bCs/>
          <w:sz w:val="32"/>
        </w:rPr>
        <w:t>国际国内局势推动粮食产业面临重大调整。</w:t>
      </w:r>
      <w:r>
        <w:rPr>
          <w:rFonts w:hint="eastAsia" w:ascii="仿宋_GB2312" w:eastAsia="仿宋_GB2312"/>
          <w:sz w:val="32"/>
        </w:rPr>
        <w:t>从国际局势看，当今世界正经历百年未有之大变局，全球粮食产业链、供应链正在发生深刻变化，全球粮食供给面临更大不确定性，使得粮食产业链和供应链的稳定性面临挑战。国际粮食贸易格局在动荡中调整，区域化粮食合作进程加快，粮食流通多向流动增加，粮食生产和供应受新冠病毒疫情等不确定性因素影响，呈现波动性较大、价格走势趋高的倾向。从全国来看，国内粮食虽然连年丰收、库存充裕，但国内持续增长的粮食需求、地缺水少人多、种粮比较效益低、粮食生产容易受自然灾害影响、结构性矛盾比较突出等潜在风险隐患，决定了我国粮食产销长期处于紧平衡态势。而我国粮食产业正处于从总量扩张转向质量提升的重要关口，处于从“有没有”“够不够”转向“好不好”“优不优”的重要节点。当前粮油产品供给与人民对美好生活的需要还不相适应，与人民群众更加注重多样化、个性化，更加注重绿色有机、安全营养的粮食消费需求还不匹配，部分粮食品种阶段性过剩和绿色优质粮食供给不足并存。</w:t>
      </w:r>
    </w:p>
    <w:p>
      <w:pPr>
        <w:ind w:firstLine="643" w:firstLineChars="200"/>
        <w:rPr>
          <w:rFonts w:ascii="仿宋_GB2312" w:eastAsia="仿宋_GB2312"/>
          <w:bCs/>
          <w:sz w:val="32"/>
        </w:rPr>
      </w:pPr>
      <w:r>
        <w:rPr>
          <w:rFonts w:ascii="仿宋_GB2312" w:eastAsia="仿宋_GB2312"/>
          <w:b/>
          <w:bCs/>
          <w:sz w:val="32"/>
        </w:rPr>
        <w:t>新发展格局</w:t>
      </w:r>
      <w:r>
        <w:rPr>
          <w:rFonts w:hint="eastAsia" w:ascii="仿宋_GB2312" w:eastAsia="仿宋_GB2312"/>
          <w:b/>
          <w:bCs/>
          <w:sz w:val="32"/>
        </w:rPr>
        <w:t>下我国粮食和物资储备行业进入高质量发展阶段。</w:t>
      </w:r>
      <w:r>
        <w:rPr>
          <w:rFonts w:hint="eastAsia" w:ascii="仿宋_GB2312" w:eastAsia="仿宋_GB2312" w:cs="仿宋_GB2312" w:hAnsiTheme="minorHAnsi"/>
          <w:sz w:val="32"/>
          <w:szCs w:val="32"/>
        </w:rPr>
        <w:t>“十三五”以来，以习近平同志为核心的党中央高度重视粮食和物资储备工作，中国特色粮食安全之路越走越宽广，“中国粮食、中国饭碗”成色更足，粮食、能源和战略物资、应急物资储备实力明显增强，应对风险挑战能力大幅提高。</w:t>
      </w:r>
      <w:r>
        <w:rPr>
          <w:rFonts w:hint="eastAsia" w:ascii="仿宋_GB2312" w:eastAsia="仿宋_GB2312"/>
          <w:sz w:val="32"/>
        </w:rPr>
        <w:t>以保障国家粮食安全为底线，实行粮食安全党政同责，完善粮食安全省长责任制，深入实施藏粮于地、藏粮于技战略；加强粮食生产功能区建设，建设国家粮食安全产业带，健全产粮大县支持政策体系，深入推进优质粮食工程；坚决遏制耕地“非农化”、防止“非粮化”</w:t>
      </w:r>
      <w:r>
        <w:rPr>
          <w:rFonts w:ascii="仿宋_GB2312" w:eastAsia="仿宋_GB2312"/>
          <w:sz w:val="32"/>
        </w:rPr>
        <w:t>，稳定并增加粮食播种面积和产量</w:t>
      </w:r>
      <w:r>
        <w:rPr>
          <w:rFonts w:hint="eastAsia" w:ascii="仿宋_GB2312" w:eastAsia="仿宋_GB2312"/>
          <w:sz w:val="32"/>
        </w:rPr>
        <w:t>，保障粮、油、肉等供给安全，</w:t>
      </w:r>
      <w:r>
        <w:rPr>
          <w:rFonts w:ascii="仿宋_GB2312" w:eastAsia="仿宋_GB2312"/>
          <w:sz w:val="32"/>
        </w:rPr>
        <w:t>提高粮食储备调控能力。</w:t>
      </w:r>
      <w:r>
        <w:rPr>
          <w:rFonts w:hint="eastAsia" w:ascii="仿宋_GB2312" w:eastAsia="仿宋_GB2312"/>
          <w:sz w:val="32"/>
        </w:rPr>
        <w:t>“十四五”时期，</w:t>
      </w:r>
      <w:r>
        <w:rPr>
          <w:rFonts w:ascii="仿宋_GB2312" w:eastAsia="仿宋_GB2312"/>
          <w:sz w:val="32"/>
        </w:rPr>
        <w:t>粮食和物资储备工作落实总体国家安全观和国家粮食安全战略、乡村振兴战略，更好发挥国家储备“稳定器”作用。</w:t>
      </w:r>
      <w:r>
        <w:rPr>
          <w:rFonts w:hint="eastAsia" w:ascii="仿宋_GB2312" w:eastAsia="仿宋_GB2312"/>
          <w:sz w:val="32"/>
        </w:rPr>
        <w:t>《中华人民共和国国民经济和社会发展第十四个五年规划和</w:t>
      </w:r>
      <w:r>
        <w:rPr>
          <w:rFonts w:ascii="仿宋_GB2312" w:eastAsia="仿宋_GB2312"/>
          <w:sz w:val="32"/>
        </w:rPr>
        <w:t>2035年远景目标纲要》</w:t>
      </w:r>
      <w:r>
        <w:rPr>
          <w:rFonts w:hint="eastAsia" w:ascii="仿宋_GB2312" w:eastAsia="仿宋_GB2312"/>
          <w:sz w:val="32"/>
        </w:rPr>
        <w:t>首次把增强粮食综合生产能力作为约束性指标纳入五年规划；首次把实施国家粮食安全战略作了专节安排和部署；首次明确国家制定《粮食安全保障法》。《粮食安全保障法》《粮食流通管理条例》《粮食储备安全管理条例》等“一法两条例”，构成确保我国粮食安全的法律基本框架。而国家物资储备制度逐步完善，功能互补、权责清晰、管理科学、运转高效、保障有力的粮食和物资储备管理体系正在构建。粮食安全和物资储备重视程度提升到前所未有的高度，国家粮食和物资储备安全重要性日益凸显，我国</w:t>
      </w:r>
      <w:r>
        <w:rPr>
          <w:rFonts w:hint="eastAsia" w:ascii="仿宋_GB2312" w:eastAsia="仿宋_GB2312"/>
          <w:bCs/>
          <w:sz w:val="32"/>
        </w:rPr>
        <w:t>粮食和物资储备行业进入高质量发展阶段。</w:t>
      </w:r>
    </w:p>
    <w:p>
      <w:pPr>
        <w:ind w:firstLine="643" w:firstLineChars="200"/>
        <w:rPr>
          <w:rFonts w:ascii="仿宋_GB2312" w:eastAsia="仿宋_GB2312"/>
          <w:sz w:val="32"/>
        </w:rPr>
      </w:pPr>
      <w:r>
        <w:rPr>
          <w:rFonts w:hint="eastAsia" w:ascii="仿宋_GB2312" w:eastAsia="仿宋_GB2312"/>
          <w:b/>
          <w:bCs/>
          <w:sz w:val="32"/>
        </w:rPr>
        <w:t>“十四五”时期桂林市粮食和物资储备行业高质量发展提出新要求。</w:t>
      </w:r>
      <w:r>
        <w:rPr>
          <w:rFonts w:hint="eastAsia" w:ascii="仿宋_GB2312" w:eastAsia="仿宋_GB2312"/>
          <w:sz w:val="32"/>
        </w:rPr>
        <w:t>一是随着居民的生活水平普遍提升，我国粮食消费结构将发生较大改变，为改善人民生活品质，更好满足人民群众从“吃得饱”到“吃得好”的消费需求，要求粮食和物资储备行业转型升级。二是建设新时代中国特色社会主义壮美广西，要求落实粮食安全责任制，守住粮食安全底线，提升收储调控能力，加强仓储能力建设，确保粮、油、糖、肉等重要民生商品供应安全。三是现代化粮食产业体系要求粮食产业链、价值链、供应链“三链协同”，持续推进优粮优产、优购、优储、优加、优销“五优联动”，提高粮食产业质量效益和竞争力，增品种、提品质、创品牌，深入实施“广西香米”区域公用品牌创建行动。四是桂林市作为广西主要的粮食产区和重要的物资储备基地，要求聚焦粮食和物资储备安全核心职能，</w:t>
      </w:r>
      <w:r>
        <w:rPr>
          <w:rFonts w:ascii="仿宋_GB2312" w:eastAsia="仿宋_GB2312"/>
          <w:sz w:val="32"/>
        </w:rPr>
        <w:t>加快构建更高层次、更高质量、更有效率、更可持续的国家粮食安全和战略应急物资储备安全保障体系</w:t>
      </w:r>
      <w:r>
        <w:rPr>
          <w:rFonts w:hint="eastAsia" w:ascii="仿宋_GB2312" w:eastAsia="仿宋_GB2312"/>
          <w:sz w:val="32"/>
        </w:rPr>
        <w:t>。</w:t>
      </w:r>
    </w:p>
    <w:p>
      <w:pPr>
        <w:rPr>
          <w:rFonts w:ascii="仿宋_GB2312" w:eastAsia="仿宋_GB2312"/>
          <w:sz w:val="32"/>
        </w:rPr>
      </w:pPr>
    </w:p>
    <w:p>
      <w:pPr>
        <w:rPr>
          <w:rFonts w:ascii="仿宋_GB2312" w:eastAsia="仿宋_GB2312"/>
          <w:sz w:val="32"/>
        </w:rPr>
      </w:pPr>
    </w:p>
    <w:p>
      <w:pPr>
        <w:rPr>
          <w:rFonts w:ascii="仿宋_GB2312" w:eastAsia="仿宋_GB2312"/>
          <w:b/>
          <w:sz w:val="36"/>
          <w:szCs w:val="20"/>
        </w:rPr>
      </w:pPr>
      <w:r>
        <w:rPr>
          <w:rFonts w:ascii="仿宋_GB2312" w:eastAsia="仿宋_GB2312"/>
          <w:b/>
          <w:sz w:val="36"/>
          <w:szCs w:val="20"/>
        </w:rPr>
        <w:br w:type="page"/>
      </w:r>
    </w:p>
    <w:p>
      <w:pPr>
        <w:snapToGrid w:val="0"/>
        <w:spacing w:before="312" w:beforeLines="100" w:after="312" w:afterLines="100" w:line="360" w:lineRule="auto"/>
        <w:jc w:val="center"/>
        <w:outlineLvl w:val="0"/>
        <w:rPr>
          <w:rFonts w:ascii="仿宋_GB2312" w:eastAsia="仿宋_GB2312"/>
          <w:b/>
          <w:sz w:val="36"/>
          <w:szCs w:val="20"/>
        </w:rPr>
      </w:pPr>
      <w:bookmarkStart w:id="8" w:name="_Toc90880541"/>
      <w:r>
        <w:rPr>
          <w:rFonts w:hint="eastAsia" w:ascii="仿宋_GB2312" w:eastAsia="仿宋_GB2312"/>
          <w:b/>
          <w:sz w:val="36"/>
          <w:szCs w:val="20"/>
        </w:rPr>
        <w:t>第三章 指导思想和发展目标</w:t>
      </w:r>
      <w:bookmarkEnd w:id="8"/>
    </w:p>
    <w:p>
      <w:pPr>
        <w:outlineLvl w:val="1"/>
        <w:rPr>
          <w:rFonts w:ascii="仿宋_GB2312" w:eastAsia="仿宋_GB2312"/>
          <w:b/>
          <w:sz w:val="32"/>
        </w:rPr>
      </w:pPr>
      <w:bookmarkStart w:id="9" w:name="_Toc90880542"/>
      <w:r>
        <w:rPr>
          <w:rFonts w:hint="eastAsia" w:ascii="仿宋_GB2312" w:eastAsia="仿宋_GB2312"/>
          <w:b/>
          <w:sz w:val="32"/>
        </w:rPr>
        <w:t>一、指导思想</w:t>
      </w:r>
      <w:bookmarkEnd w:id="9"/>
    </w:p>
    <w:p>
      <w:pPr>
        <w:ind w:firstLine="640" w:firstLineChars="200"/>
        <w:rPr>
          <w:rFonts w:ascii="仿宋_GB2312" w:eastAsia="仿宋_GB2312"/>
          <w:sz w:val="32"/>
        </w:rPr>
      </w:pPr>
      <w:r>
        <w:rPr>
          <w:rFonts w:hint="eastAsia" w:ascii="仿宋_GB2312" w:eastAsia="仿宋_GB2312"/>
          <w:sz w:val="32"/>
        </w:rPr>
        <w:t>以习近平新时代中国特色社会主义思想为指导，全面贯彻党的十九大和十九届二中、三中、四中、五中全会精神，认真学习</w:t>
      </w:r>
      <w:r>
        <w:rPr>
          <w:rFonts w:hint="eastAsia" w:ascii="仿宋_GB2312" w:eastAsia="仿宋_GB2312"/>
          <w:sz w:val="32"/>
          <w:lang w:eastAsia="zh-CN"/>
        </w:rPr>
        <w:t>习</w:t>
      </w:r>
      <w:r>
        <w:rPr>
          <w:rFonts w:hint="eastAsia" w:ascii="仿宋_GB2312" w:eastAsia="仿宋_GB2312"/>
          <w:sz w:val="32"/>
        </w:rPr>
        <w:t>近平</w:t>
      </w:r>
      <w:r>
        <w:rPr>
          <w:rFonts w:hint="eastAsia" w:ascii="仿宋_GB2312" w:eastAsia="仿宋_GB2312" w:cs="仿宋_GB2312" w:hAnsiTheme="minorHAnsi"/>
          <w:sz w:val="32"/>
          <w:szCs w:val="32"/>
        </w:rPr>
        <w:t>总书记考察广西和桂林的指示精神，</w:t>
      </w:r>
      <w:r>
        <w:rPr>
          <w:rFonts w:hint="eastAsia" w:ascii="仿宋_GB2312" w:eastAsia="仿宋_GB2312"/>
          <w:sz w:val="32"/>
        </w:rPr>
        <w:t>深化落实总体国家安全观、国家粮食安全战略和乡村振兴战略，聚焦粮食和物资储备安全核心职能，准确把握新发展阶段，全面贯彻新发展理念，服务构建新发展格局，助力建设新时代中国特色社会主义壮美广西，着力构建更高层次、更高质量、更有效率、更可持续的粮食和物资储备安全保障体系，防范风险、筑牢底板，坚决扛稳粮食和物资储备安全重任，着力推进粮食和物资储备治理体系和治理能力现代化，做大做强粮食产业，畅通粮食和物资流通渠道，加快补齐物资储备领域短板，推动桂林市粮食和物资储备行业高质量发展。</w:t>
      </w:r>
    </w:p>
    <w:p>
      <w:pPr>
        <w:ind w:firstLine="640" w:firstLineChars="200"/>
        <w:rPr>
          <w:rFonts w:ascii="仿宋_GB2312" w:eastAsia="仿宋_GB2312"/>
          <w:sz w:val="32"/>
        </w:rPr>
      </w:pPr>
    </w:p>
    <w:p>
      <w:pPr>
        <w:outlineLvl w:val="1"/>
        <w:rPr>
          <w:rFonts w:ascii="仿宋_GB2312" w:eastAsia="仿宋_GB2312"/>
          <w:b/>
          <w:sz w:val="32"/>
        </w:rPr>
      </w:pPr>
      <w:bookmarkStart w:id="10" w:name="_Toc90880543"/>
      <w:r>
        <w:rPr>
          <w:rFonts w:hint="eastAsia" w:ascii="仿宋_GB2312" w:eastAsia="仿宋_GB2312"/>
          <w:b/>
          <w:sz w:val="32"/>
        </w:rPr>
        <w:t>二、基本原则</w:t>
      </w:r>
      <w:bookmarkEnd w:id="10"/>
    </w:p>
    <w:p>
      <w:pPr>
        <w:ind w:firstLine="643" w:firstLineChars="200"/>
        <w:rPr>
          <w:rFonts w:ascii="仿宋_GB2312" w:eastAsia="仿宋_GB2312"/>
          <w:sz w:val="32"/>
        </w:rPr>
      </w:pPr>
      <w:r>
        <w:rPr>
          <w:rFonts w:hint="eastAsia" w:ascii="仿宋_GB2312" w:eastAsia="仿宋_GB2312"/>
          <w:b/>
          <w:bCs/>
          <w:sz w:val="32"/>
        </w:rPr>
        <w:t>安全优先。</w:t>
      </w:r>
      <w:r>
        <w:rPr>
          <w:rFonts w:hint="eastAsia" w:ascii="仿宋_GB2312" w:eastAsia="仿宋_GB2312"/>
          <w:sz w:val="32"/>
        </w:rPr>
        <w:t>实行粮食安全党政同责，认真落实粮食安全行政首长责任制，稳定发展粮食生产，巩固提高粮食生产能力，确保粮食安全。同时统筹兼顾、权衡利弊，努力促进粮食产业效益最大化，保证粮食生产的长期安全。深入落实总体国家安全观，完善应急保供体系、物资储备体系，保障物资储备安全。</w:t>
      </w:r>
    </w:p>
    <w:p>
      <w:pPr>
        <w:ind w:firstLine="643" w:firstLineChars="200"/>
        <w:rPr>
          <w:rFonts w:ascii="仿宋_GB2312" w:eastAsia="仿宋_GB2312"/>
          <w:sz w:val="32"/>
        </w:rPr>
      </w:pPr>
      <w:r>
        <w:rPr>
          <w:rFonts w:hint="eastAsia" w:ascii="仿宋_GB2312" w:eastAsia="仿宋_GB2312"/>
          <w:b/>
          <w:bCs/>
          <w:sz w:val="32"/>
        </w:rPr>
        <w:t>创新引领。</w:t>
      </w:r>
      <w:r>
        <w:rPr>
          <w:rFonts w:hint="eastAsia" w:ascii="仿宋_GB2312" w:eastAsia="仿宋_GB2312"/>
          <w:sz w:val="32"/>
        </w:rPr>
        <w:t>坚持把创新放在核心地位，守正创新、乘势而进，深入实施藏粮于地、藏粮于技战略，</w:t>
      </w:r>
      <w:r>
        <w:rPr>
          <w:rFonts w:hint="eastAsia" w:ascii="仿宋_GB2312" w:eastAsia="仿宋_GB2312" w:cs="仿宋_GB2312" w:hAnsiTheme="minorHAnsi"/>
          <w:sz w:val="32"/>
          <w:szCs w:val="32"/>
        </w:rPr>
        <w:t>积极推进数字化改革，</w:t>
      </w:r>
      <w:r>
        <w:rPr>
          <w:rFonts w:hint="eastAsia" w:ascii="仿宋_GB2312" w:eastAsia="仿宋_GB2312"/>
          <w:sz w:val="32"/>
        </w:rPr>
        <w:t>强化科技创新和装备支撑，加快体制机制、经营方式和商业模式创新。</w:t>
      </w:r>
    </w:p>
    <w:p>
      <w:pPr>
        <w:ind w:firstLine="643" w:firstLineChars="200"/>
        <w:rPr>
          <w:rFonts w:ascii="仿宋_GB2312" w:eastAsia="仿宋_GB2312"/>
          <w:sz w:val="32"/>
        </w:rPr>
      </w:pPr>
      <w:r>
        <w:rPr>
          <w:rFonts w:hint="eastAsia" w:ascii="仿宋_GB2312" w:eastAsia="仿宋_GB2312"/>
          <w:b/>
          <w:bCs/>
          <w:sz w:val="32"/>
        </w:rPr>
        <w:t>融合发展。</w:t>
      </w:r>
      <w:r>
        <w:rPr>
          <w:rFonts w:hint="eastAsia" w:ascii="仿宋_GB2312" w:eastAsia="仿宋_GB2312"/>
          <w:sz w:val="32"/>
        </w:rPr>
        <w:t>树立“大粮食”“大产业”“大市场”“大流通”理念，适应大储备发展格局，坚持“粮头食尾”和“农头工尾”，促进一二三产业融合发展，推动形成工农互促、城乡互补、协调发展、共同繁荣的新型工农城乡关系。</w:t>
      </w:r>
    </w:p>
    <w:p>
      <w:pPr>
        <w:ind w:firstLine="643" w:firstLineChars="200"/>
        <w:rPr>
          <w:rFonts w:ascii="仿宋_GB2312" w:eastAsia="仿宋_GB2312"/>
          <w:sz w:val="32"/>
        </w:rPr>
      </w:pPr>
      <w:r>
        <w:rPr>
          <w:rFonts w:hint="eastAsia" w:ascii="仿宋_GB2312" w:eastAsia="仿宋_GB2312"/>
          <w:b/>
          <w:bCs/>
          <w:sz w:val="32"/>
        </w:rPr>
        <w:t>市场主导。</w:t>
      </w:r>
      <w:r>
        <w:rPr>
          <w:rFonts w:hint="eastAsia" w:ascii="仿宋_GB2312" w:eastAsia="仿宋_GB2312"/>
          <w:sz w:val="32"/>
        </w:rPr>
        <w:t>以市场需求为导向，突出市场主体地位，激发市场活力和粮食与物资储备企业发展动力，深化粮食收储制度改革，发挥市场在资源配置中的决定性作用。</w:t>
      </w:r>
    </w:p>
    <w:p>
      <w:pPr>
        <w:ind w:firstLine="643" w:firstLineChars="200"/>
        <w:rPr>
          <w:rFonts w:ascii="仿宋_GB2312" w:eastAsia="仿宋_GB2312"/>
          <w:sz w:val="32"/>
        </w:rPr>
      </w:pPr>
      <w:r>
        <w:rPr>
          <w:rFonts w:hint="eastAsia" w:ascii="仿宋_GB2312" w:eastAsia="仿宋_GB2312"/>
          <w:b/>
          <w:bCs/>
          <w:sz w:val="32"/>
        </w:rPr>
        <w:t>政府引导。</w:t>
      </w:r>
      <w:r>
        <w:rPr>
          <w:rFonts w:hint="eastAsia" w:ascii="仿宋_GB2312" w:eastAsia="仿宋_GB2312"/>
          <w:sz w:val="32"/>
        </w:rPr>
        <w:t>针对粮食和物资储备行业发展的薄弱环节和制约瓶颈，强化政府规划引导、政策扶持、监管服务等作用，着力营造粮食和物资储备行业发展良好环境。</w:t>
      </w:r>
    </w:p>
    <w:p>
      <w:pPr>
        <w:ind w:firstLine="640" w:firstLineChars="200"/>
        <w:rPr>
          <w:rFonts w:ascii="仿宋_GB2312" w:eastAsia="仿宋_GB2312"/>
          <w:sz w:val="32"/>
        </w:rPr>
      </w:pPr>
    </w:p>
    <w:p>
      <w:pPr>
        <w:outlineLvl w:val="1"/>
        <w:rPr>
          <w:rFonts w:ascii="仿宋_GB2312" w:eastAsia="仿宋_GB2312"/>
          <w:b/>
          <w:sz w:val="32"/>
        </w:rPr>
      </w:pPr>
      <w:bookmarkStart w:id="11" w:name="_Toc90880544"/>
      <w:r>
        <w:rPr>
          <w:rFonts w:hint="eastAsia" w:ascii="仿宋_GB2312" w:eastAsia="仿宋_GB2312"/>
          <w:b/>
          <w:sz w:val="32"/>
        </w:rPr>
        <w:t>三、发展理念</w:t>
      </w:r>
      <w:bookmarkEnd w:id="11"/>
    </w:p>
    <w:p>
      <w:pPr>
        <w:ind w:firstLine="643" w:firstLineChars="200"/>
        <w:rPr>
          <w:rFonts w:ascii="仿宋_GB2312" w:eastAsia="仿宋_GB2312"/>
          <w:sz w:val="32"/>
        </w:rPr>
      </w:pPr>
      <w:r>
        <w:rPr>
          <w:rFonts w:hint="eastAsia" w:ascii="仿宋_GB2312" w:eastAsia="仿宋_GB2312"/>
          <w:b/>
          <w:bCs/>
          <w:sz w:val="32"/>
        </w:rPr>
        <w:t>统筹发展与安全。</w:t>
      </w:r>
      <w:r>
        <w:rPr>
          <w:rFonts w:hint="eastAsia" w:ascii="仿宋_GB2312" w:eastAsia="仿宋_GB2312"/>
          <w:sz w:val="32"/>
        </w:rPr>
        <w:t>坚持系统化观念和思维，扛稳保障国家粮食安全的政治责任。强化粮食生产安全、储备安全、流通安全，统筹提升粮食安全的协同保障能力、收储调控能力、产业支撑能力、现代化治理能力，以及节粮减损能力。完善粮食应急网络体系，稳妥推进各类物资收储轮换，补齐物资储备短板，健全物资保障体系。</w:t>
      </w:r>
    </w:p>
    <w:p>
      <w:pPr>
        <w:ind w:firstLine="643" w:firstLineChars="200"/>
        <w:rPr>
          <w:rFonts w:ascii="仿宋_GB2312" w:eastAsia="仿宋_GB2312"/>
          <w:sz w:val="32"/>
        </w:rPr>
      </w:pPr>
      <w:r>
        <w:rPr>
          <w:rFonts w:hint="eastAsia" w:ascii="仿宋_GB2312" w:eastAsia="仿宋_GB2312"/>
          <w:b/>
          <w:bCs/>
          <w:sz w:val="32"/>
        </w:rPr>
        <w:t>坚持高质量发展。</w:t>
      </w:r>
      <w:r>
        <w:rPr>
          <w:rFonts w:hint="eastAsia" w:ascii="仿宋_GB2312" w:eastAsia="仿宋_GB2312"/>
          <w:sz w:val="32"/>
        </w:rPr>
        <w:t>统筹实施优质粮食工程，突出抓好 “三链协同”“五优联动”，大力推动科技创新和数字化转型，加快实施科技和人才兴粮兴储，推进“数字粮储”建设。积极实施“中国好粮油”行动，持续发展“广西香米”区域性好粮油品牌和地方性好粮油品牌。</w:t>
      </w:r>
    </w:p>
    <w:p>
      <w:pPr>
        <w:ind w:firstLine="643" w:firstLineChars="200"/>
        <w:rPr>
          <w:rFonts w:ascii="仿宋_GB2312" w:eastAsia="仿宋_GB2312"/>
          <w:sz w:val="32"/>
        </w:rPr>
      </w:pPr>
      <w:r>
        <w:rPr>
          <w:rFonts w:hint="eastAsia" w:ascii="仿宋_GB2312" w:eastAsia="仿宋_GB2312"/>
          <w:b/>
          <w:bCs/>
          <w:sz w:val="32"/>
        </w:rPr>
        <w:t>坚持底线思维。</w:t>
      </w:r>
      <w:r>
        <w:rPr>
          <w:rFonts w:hint="eastAsia" w:ascii="仿宋_GB2312" w:eastAsia="仿宋_GB2312"/>
          <w:sz w:val="32"/>
        </w:rPr>
        <w:t>推动实行党政同责，强化粮食安全行政首长责任制。严格落实粮食收购政策，严格落实耕地保护制度，牢牢守住耕地保护红线，坚决防止耕地“非粮化”。提高依法管粮水平，强化粮食收储市场监管，强化风险防控，完善粮食市场监测预警体系。</w:t>
      </w:r>
    </w:p>
    <w:p>
      <w:pPr>
        <w:ind w:firstLine="643" w:firstLineChars="200"/>
        <w:rPr>
          <w:rFonts w:ascii="仿宋_GB2312" w:eastAsia="仿宋_GB2312"/>
          <w:sz w:val="32"/>
        </w:rPr>
      </w:pPr>
      <w:r>
        <w:rPr>
          <w:rFonts w:hint="eastAsia" w:ascii="仿宋_GB2312" w:eastAsia="仿宋_GB2312"/>
          <w:b/>
          <w:bCs/>
          <w:sz w:val="32"/>
        </w:rPr>
        <w:t>坚持精准调控。</w:t>
      </w:r>
      <w:r>
        <w:rPr>
          <w:rFonts w:hint="eastAsia" w:ascii="仿宋_GB2312" w:eastAsia="仿宋_GB2312"/>
          <w:sz w:val="32"/>
        </w:rPr>
        <w:t>科学确定政府储备规模，立足全链条保障粮食安全，完善粮食产购储加销体系，在更高水平上实现供需动态平衡。强化设施建设，推进粮食产业全链条管控，健全粮食产后服务体系，有效降低粮食生产、储存、运输、加工环节损耗，畅通粮食流通大循环。</w:t>
      </w:r>
    </w:p>
    <w:p>
      <w:pPr>
        <w:outlineLvl w:val="1"/>
        <w:rPr>
          <w:rFonts w:ascii="仿宋_GB2312" w:eastAsia="仿宋_GB2312"/>
          <w:b/>
          <w:sz w:val="32"/>
        </w:rPr>
      </w:pPr>
      <w:bookmarkStart w:id="12" w:name="_Toc90880545"/>
      <w:r>
        <w:rPr>
          <w:rFonts w:hint="eastAsia" w:ascii="仿宋_GB2312" w:eastAsia="仿宋_GB2312"/>
          <w:b/>
          <w:sz w:val="32"/>
        </w:rPr>
        <w:t>四、主要目标</w:t>
      </w:r>
      <w:bookmarkEnd w:id="12"/>
    </w:p>
    <w:p>
      <w:pPr>
        <w:ind w:firstLine="640" w:firstLineChars="200"/>
        <w:rPr>
          <w:rFonts w:ascii="仿宋_GB2312" w:eastAsia="仿宋_GB2312"/>
          <w:sz w:val="32"/>
        </w:rPr>
      </w:pPr>
      <w:r>
        <w:rPr>
          <w:rFonts w:ascii="仿宋_GB2312" w:eastAsia="仿宋_GB2312"/>
          <w:sz w:val="32"/>
        </w:rPr>
        <w:t>“</w:t>
      </w:r>
      <w:r>
        <w:rPr>
          <w:rFonts w:hint="eastAsia" w:ascii="仿宋_GB2312" w:eastAsia="仿宋_GB2312"/>
          <w:sz w:val="32"/>
        </w:rPr>
        <w:t>十四五</w:t>
      </w:r>
      <w:r>
        <w:rPr>
          <w:rFonts w:ascii="仿宋_GB2312" w:eastAsia="仿宋_GB2312"/>
          <w:sz w:val="32"/>
        </w:rPr>
        <w:t>”</w:t>
      </w:r>
      <w:r>
        <w:rPr>
          <w:rFonts w:hint="eastAsia" w:ascii="仿宋_GB2312" w:eastAsia="仿宋_GB2312"/>
          <w:sz w:val="32"/>
        </w:rPr>
        <w:t>时期，粮食和物资储备体制机制更加健全，粮食产业竞争优势逐步显现，物资储备效能明显增强，绿色化、数字化等现代化程度大幅提高，推动桂林市粮食和物资储备行业高质量发展；到</w:t>
      </w:r>
      <w:r>
        <w:rPr>
          <w:rFonts w:ascii="仿宋_GB2312" w:eastAsia="仿宋_GB2312"/>
          <w:sz w:val="32"/>
        </w:rPr>
        <w:t>2025年</w:t>
      </w:r>
      <w:r>
        <w:rPr>
          <w:rFonts w:hint="eastAsia" w:ascii="仿宋_GB2312" w:eastAsia="仿宋_GB2312"/>
          <w:sz w:val="32"/>
        </w:rPr>
        <w:t>，</w:t>
      </w:r>
      <w:r>
        <w:rPr>
          <w:rFonts w:ascii="仿宋_GB2312" w:eastAsia="仿宋_GB2312"/>
          <w:sz w:val="32"/>
        </w:rPr>
        <w:t>基本建成</w:t>
      </w:r>
      <w:r>
        <w:rPr>
          <w:rFonts w:hint="eastAsia" w:ascii="仿宋_GB2312" w:eastAsia="仿宋_GB2312"/>
          <w:sz w:val="32"/>
        </w:rPr>
        <w:t>粮源稳定、渠道顺畅、储备充足、结构合理、布局良好、运转高效、应急有力的粮食安全保障体系和物资储备体系。</w:t>
      </w:r>
    </w:p>
    <w:p>
      <w:pPr>
        <w:ind w:firstLine="643" w:firstLineChars="200"/>
        <w:rPr>
          <w:rFonts w:ascii="仿宋_GB2312" w:eastAsia="仿宋_GB2312"/>
          <w:sz w:val="32"/>
        </w:rPr>
      </w:pPr>
      <w:r>
        <w:rPr>
          <w:rFonts w:hint="eastAsia" w:ascii="仿宋_GB2312" w:eastAsia="仿宋_GB2312"/>
          <w:b/>
          <w:bCs/>
          <w:sz w:val="32"/>
        </w:rPr>
        <w:t>粮食安全有保障。</w:t>
      </w:r>
      <w:r>
        <w:rPr>
          <w:rFonts w:hint="eastAsia" w:ascii="仿宋_GB2312" w:eastAsia="仿宋_GB2312"/>
          <w:sz w:val="32"/>
        </w:rPr>
        <w:t>到</w:t>
      </w:r>
      <w:r>
        <w:rPr>
          <w:rFonts w:ascii="仿宋_GB2312" w:eastAsia="仿宋_GB2312"/>
          <w:sz w:val="32"/>
        </w:rPr>
        <w:t>2025</w:t>
      </w:r>
      <w:r>
        <w:rPr>
          <w:rFonts w:hint="eastAsia" w:ascii="仿宋_GB2312" w:eastAsia="仿宋_GB2312"/>
          <w:sz w:val="32"/>
        </w:rPr>
        <w:t>年，全市粮食播种面积不低于</w:t>
      </w:r>
      <w:r>
        <w:rPr>
          <w:rFonts w:ascii="仿宋_GB2312" w:eastAsia="仿宋_GB2312"/>
          <w:sz w:val="32"/>
        </w:rPr>
        <w:t>34.0</w:t>
      </w:r>
      <w:r>
        <w:rPr>
          <w:rFonts w:hint="eastAsia" w:ascii="仿宋_GB2312" w:eastAsia="仿宋_GB2312"/>
          <w:sz w:val="32"/>
        </w:rPr>
        <w:t>万公顷，粮食总产量不少于</w:t>
      </w:r>
      <w:r>
        <w:rPr>
          <w:rFonts w:ascii="仿宋_GB2312" w:eastAsia="仿宋_GB2312"/>
          <w:sz w:val="32"/>
        </w:rPr>
        <w:t>178.0</w:t>
      </w:r>
      <w:r>
        <w:rPr>
          <w:rFonts w:hint="eastAsia" w:ascii="仿宋_GB2312" w:eastAsia="仿宋_GB2312"/>
          <w:sz w:val="32"/>
        </w:rPr>
        <w:t>万吨，年粮食收购量</w:t>
      </w:r>
      <w:r>
        <w:rPr>
          <w:rFonts w:ascii="仿宋_GB2312" w:eastAsia="仿宋_GB2312"/>
          <w:sz w:val="32"/>
        </w:rPr>
        <w:t>180.0</w:t>
      </w:r>
      <w:r>
        <w:rPr>
          <w:rFonts w:hint="eastAsia" w:ascii="仿宋_GB2312" w:eastAsia="仿宋_GB2312"/>
          <w:sz w:val="32"/>
        </w:rPr>
        <w:t>万吨（其中国有企业年收购量</w:t>
      </w:r>
      <w:r>
        <w:rPr>
          <w:rFonts w:ascii="仿宋_GB2312" w:eastAsia="仿宋_GB2312"/>
          <w:sz w:val="32"/>
        </w:rPr>
        <w:t>12.0</w:t>
      </w:r>
      <w:r>
        <w:rPr>
          <w:rFonts w:hint="eastAsia" w:ascii="仿宋_GB2312" w:eastAsia="仿宋_GB2312"/>
          <w:sz w:val="32"/>
        </w:rPr>
        <w:t>万吨，优质优价收购量</w:t>
      </w:r>
      <w:r>
        <w:rPr>
          <w:rFonts w:ascii="仿宋_GB2312" w:eastAsia="仿宋_GB2312"/>
          <w:sz w:val="32"/>
        </w:rPr>
        <w:t>7.0</w:t>
      </w:r>
      <w:r>
        <w:rPr>
          <w:rFonts w:hint="eastAsia" w:ascii="仿宋_GB2312" w:eastAsia="仿宋_GB2312"/>
          <w:sz w:val="32"/>
        </w:rPr>
        <w:t>万吨），地方储备粮粮源稳定；粮食应急保供能力进一步提升，应急加工能力达到</w:t>
      </w:r>
      <w:r>
        <w:rPr>
          <w:rFonts w:ascii="仿宋_GB2312" w:eastAsia="仿宋_GB2312"/>
          <w:sz w:val="32"/>
        </w:rPr>
        <w:t>4500</w:t>
      </w:r>
      <w:r>
        <w:rPr>
          <w:rFonts w:hint="eastAsia" w:ascii="仿宋_GB2312" w:eastAsia="仿宋_GB2312"/>
          <w:sz w:val="32"/>
        </w:rPr>
        <w:t>吨</w:t>
      </w:r>
      <w:r>
        <w:rPr>
          <w:rFonts w:ascii="仿宋_GB2312" w:eastAsia="仿宋_GB2312"/>
          <w:sz w:val="32"/>
        </w:rPr>
        <w:t>/</w:t>
      </w:r>
      <w:r>
        <w:rPr>
          <w:rFonts w:hint="eastAsia" w:ascii="仿宋_GB2312" w:eastAsia="仿宋_GB2312"/>
          <w:sz w:val="32"/>
        </w:rPr>
        <w:t>天；优化应急供应网点布局，实现</w:t>
      </w:r>
      <w:r>
        <w:rPr>
          <w:rFonts w:ascii="仿宋_GB2312" w:eastAsia="仿宋_GB2312"/>
          <w:sz w:val="32"/>
        </w:rPr>
        <w:t>3</w:t>
      </w:r>
      <w:r>
        <w:rPr>
          <w:rFonts w:hint="eastAsia" w:ascii="仿宋_GB2312" w:eastAsia="仿宋_GB2312"/>
          <w:sz w:val="32"/>
        </w:rPr>
        <w:t>小时应急响应全覆盖。自主可控、安全高效的粮食产业链、供应链基本形成，粮情监测预警体系全面建立，粮食应急管理体系和军粮供应保障体系更加健全。</w:t>
      </w:r>
    </w:p>
    <w:p>
      <w:pPr>
        <w:ind w:firstLine="643" w:firstLineChars="200"/>
        <w:rPr>
          <w:rFonts w:ascii="仿宋_GB2312" w:eastAsia="仿宋_GB2312"/>
          <w:sz w:val="32"/>
        </w:rPr>
      </w:pPr>
      <w:r>
        <w:rPr>
          <w:rFonts w:hint="eastAsia" w:ascii="仿宋_GB2312" w:eastAsia="仿宋_GB2312"/>
          <w:b/>
          <w:bCs/>
          <w:sz w:val="32"/>
        </w:rPr>
        <w:t>粮食产业发展高质量。</w:t>
      </w:r>
      <w:r>
        <w:rPr>
          <w:rFonts w:hint="eastAsia" w:ascii="仿宋_GB2312" w:eastAsia="仿宋_GB2312"/>
          <w:sz w:val="32"/>
        </w:rPr>
        <w:t>优质粮食工程建设成效进一步显现，全面推广“五优联动”，粮食优质品率大幅度提升。到</w:t>
      </w:r>
      <w:r>
        <w:rPr>
          <w:rFonts w:ascii="仿宋_GB2312" w:eastAsia="仿宋_GB2312"/>
          <w:sz w:val="32"/>
        </w:rPr>
        <w:t>2025</w:t>
      </w:r>
      <w:r>
        <w:rPr>
          <w:rFonts w:hint="eastAsia" w:ascii="仿宋_GB2312" w:eastAsia="仿宋_GB2312"/>
          <w:sz w:val="32"/>
        </w:rPr>
        <w:t>年，全市粮油</w:t>
      </w:r>
      <w:r>
        <w:rPr>
          <w:rFonts w:ascii="仿宋_GB2312" w:eastAsia="仿宋_GB2312"/>
          <w:sz w:val="32"/>
        </w:rPr>
        <w:t>加工业产值突破60亿元</w:t>
      </w:r>
      <w:r>
        <w:rPr>
          <w:rFonts w:hint="eastAsia" w:ascii="仿宋_GB2312" w:eastAsia="仿宋_GB2312"/>
          <w:sz w:val="32"/>
        </w:rPr>
        <w:t>，建成高水平粮食产业园区</w:t>
      </w:r>
      <w:r>
        <w:rPr>
          <w:rFonts w:ascii="仿宋_GB2312" w:eastAsia="仿宋_GB2312"/>
          <w:sz w:val="32"/>
        </w:rPr>
        <w:t>1</w:t>
      </w:r>
      <w:r>
        <w:rPr>
          <w:rFonts w:hint="eastAsia" w:ascii="仿宋_GB2312" w:eastAsia="仿宋_GB2312"/>
          <w:sz w:val="32"/>
        </w:rPr>
        <w:t>个；年主营收入</w:t>
      </w:r>
      <w:r>
        <w:rPr>
          <w:rFonts w:ascii="仿宋_GB2312" w:eastAsia="仿宋_GB2312"/>
          <w:sz w:val="32"/>
        </w:rPr>
        <w:t>100</w:t>
      </w:r>
      <w:r>
        <w:rPr>
          <w:rFonts w:hint="eastAsia" w:ascii="仿宋_GB2312" w:eastAsia="仿宋_GB2312"/>
          <w:sz w:val="32"/>
        </w:rPr>
        <w:t>亿元以上的领军企业</w:t>
      </w:r>
      <w:r>
        <w:rPr>
          <w:rFonts w:ascii="仿宋_GB2312" w:eastAsia="仿宋_GB2312"/>
          <w:sz w:val="32"/>
        </w:rPr>
        <w:t>1</w:t>
      </w:r>
      <w:r>
        <w:rPr>
          <w:rFonts w:hint="eastAsia" w:ascii="仿宋_GB2312" w:eastAsia="仿宋_GB2312"/>
          <w:sz w:val="32"/>
        </w:rPr>
        <w:t>家，“广西好粮油”产品数量达到</w:t>
      </w:r>
      <w:r>
        <w:rPr>
          <w:rFonts w:ascii="仿宋_GB2312" w:eastAsia="仿宋_GB2312"/>
          <w:sz w:val="32"/>
        </w:rPr>
        <w:t>20</w:t>
      </w:r>
      <w:r>
        <w:rPr>
          <w:rFonts w:hint="eastAsia" w:ascii="仿宋_GB2312" w:eastAsia="仿宋_GB2312"/>
          <w:sz w:val="32"/>
        </w:rPr>
        <w:t>个以上；</w:t>
      </w:r>
      <w:r>
        <w:rPr>
          <w:rFonts w:ascii="仿宋_GB2312" w:eastAsia="仿宋_GB2312"/>
          <w:sz w:val="32"/>
        </w:rPr>
        <w:t>全</w:t>
      </w:r>
      <w:r>
        <w:rPr>
          <w:rFonts w:hint="eastAsia" w:ascii="仿宋_GB2312" w:eastAsia="仿宋_GB2312"/>
          <w:sz w:val="32"/>
        </w:rPr>
        <w:t>市</w:t>
      </w:r>
      <w:r>
        <w:rPr>
          <w:rFonts w:ascii="仿宋_GB2312" w:eastAsia="仿宋_GB2312"/>
          <w:sz w:val="32"/>
        </w:rPr>
        <w:t>“五优联动”优质稻谷订单面积力争达到100万亩以上，收储数量达到10万吨以上，</w:t>
      </w:r>
      <w:r>
        <w:rPr>
          <w:rFonts w:hint="eastAsia" w:ascii="仿宋_GB2312" w:eastAsia="仿宋_GB2312"/>
          <w:sz w:val="32"/>
        </w:rPr>
        <w:t>本地</w:t>
      </w:r>
      <w:r>
        <w:rPr>
          <w:rFonts w:ascii="仿宋_GB2312" w:eastAsia="仿宋_GB2312"/>
          <w:sz w:val="32"/>
        </w:rPr>
        <w:t>品牌优质大米</w:t>
      </w:r>
      <w:r>
        <w:rPr>
          <w:rFonts w:hint="eastAsia" w:ascii="仿宋_GB2312" w:eastAsia="仿宋_GB2312"/>
          <w:sz w:val="32"/>
        </w:rPr>
        <w:t>加工量达到</w:t>
      </w:r>
      <w:r>
        <w:rPr>
          <w:rFonts w:ascii="仿宋_GB2312" w:eastAsia="仿宋_GB2312"/>
          <w:sz w:val="32"/>
        </w:rPr>
        <w:t>5万吨以上。</w:t>
      </w:r>
    </w:p>
    <w:p>
      <w:pPr>
        <w:ind w:firstLine="643" w:firstLineChars="200"/>
        <w:rPr>
          <w:rFonts w:ascii="仿宋_GB2312" w:eastAsia="仿宋_GB2312"/>
          <w:sz w:val="32"/>
        </w:rPr>
      </w:pPr>
      <w:r>
        <w:rPr>
          <w:rFonts w:hint="eastAsia" w:ascii="仿宋_GB2312" w:eastAsia="仿宋_GB2312"/>
          <w:b/>
          <w:bCs/>
          <w:sz w:val="32"/>
        </w:rPr>
        <w:t>粮食储备体系更完备。</w:t>
      </w:r>
      <w:r>
        <w:rPr>
          <w:rFonts w:hint="eastAsia" w:ascii="仿宋_GB2312" w:eastAsia="仿宋_GB2312"/>
          <w:sz w:val="32"/>
        </w:rPr>
        <w:t>粮食储备规模、布局和结构得到优化，管理体制、运行机制更趋完善、更有效率、更加规范，多元储备体系基本形成。市级和县级地方储备粮达到</w:t>
      </w:r>
      <w:r>
        <w:rPr>
          <w:rFonts w:ascii="仿宋_GB2312" w:eastAsia="仿宋_GB2312"/>
          <w:sz w:val="32"/>
        </w:rPr>
        <w:t>12</w:t>
      </w:r>
      <w:r>
        <w:rPr>
          <w:rFonts w:hint="eastAsia" w:ascii="仿宋_GB2312" w:eastAsia="仿宋_GB2312"/>
          <w:sz w:val="32"/>
        </w:rPr>
        <w:t>万吨以上（其中储备成品粮</w:t>
      </w:r>
      <w:r>
        <w:rPr>
          <w:rFonts w:ascii="仿宋_GB2312" w:eastAsia="仿宋_GB2312"/>
          <w:sz w:val="32"/>
        </w:rPr>
        <w:t>0.3</w:t>
      </w:r>
      <w:r>
        <w:rPr>
          <w:rFonts w:hint="eastAsia" w:ascii="仿宋_GB2312" w:eastAsia="仿宋_GB2312"/>
          <w:sz w:val="32"/>
        </w:rPr>
        <w:t>万吨以上），地方食用油储备足额到位。</w:t>
      </w:r>
    </w:p>
    <w:p>
      <w:pPr>
        <w:ind w:firstLine="643" w:firstLineChars="200"/>
        <w:rPr>
          <w:rFonts w:ascii="仿宋_GB2312" w:eastAsia="仿宋_GB2312"/>
          <w:sz w:val="32"/>
        </w:rPr>
      </w:pPr>
      <w:r>
        <w:rPr>
          <w:rFonts w:hint="eastAsia" w:ascii="仿宋_GB2312" w:eastAsia="仿宋_GB2312"/>
          <w:b/>
          <w:bCs/>
          <w:sz w:val="32"/>
        </w:rPr>
        <w:t>物资储备体系更完善。</w:t>
      </w:r>
      <w:r>
        <w:rPr>
          <w:rFonts w:hint="eastAsia" w:ascii="仿宋_GB2312" w:eastAsia="仿宋_GB2312"/>
          <w:sz w:val="32"/>
        </w:rPr>
        <w:t>补齐物资储备体系短板，统一高效的物资储备管理体系基本建成。物资储备管理更规范，品种规模和结构布局更优化，市、县（区）各级物资储备功能定位更明确，部门间协调机制更畅通，储备管理数字化水平显著提升。</w:t>
      </w:r>
    </w:p>
    <w:p>
      <w:pPr>
        <w:ind w:firstLine="643" w:firstLineChars="200"/>
        <w:rPr>
          <w:rFonts w:ascii="仿宋_GB2312" w:eastAsia="仿宋_GB2312"/>
          <w:sz w:val="32"/>
        </w:rPr>
      </w:pPr>
      <w:r>
        <w:rPr>
          <w:rFonts w:hint="eastAsia" w:ascii="仿宋_GB2312" w:eastAsia="仿宋_GB2312"/>
          <w:b/>
          <w:bCs/>
          <w:sz w:val="32"/>
        </w:rPr>
        <w:t>仓储基础设施更先进。</w:t>
      </w:r>
      <w:r>
        <w:rPr>
          <w:rFonts w:hint="eastAsia" w:ascii="仿宋_GB2312" w:eastAsia="仿宋_GB2312"/>
          <w:sz w:val="32"/>
        </w:rPr>
        <w:t>统筹推进粮食和物资储备信息化建设，仓储物流设施机械化、数字化和智能化。打造升级粮食监督检查平台，建设粮食和物资储备调度平台，推进高标准综合性应急物资储备库建设。</w:t>
      </w:r>
      <w:r>
        <w:rPr>
          <w:rFonts w:hint="eastAsia" w:ascii="仿宋_GB2312" w:eastAsia="仿宋_GB2312"/>
          <w:sz w:val="32"/>
          <w:szCs w:val="32"/>
        </w:rPr>
        <w:t>加强粮食仓储物流基础设施建设，重点在仓房改造、功能提升，</w:t>
      </w:r>
      <w:r>
        <w:rPr>
          <w:rFonts w:hint="eastAsia" w:ascii="仿宋_GB2312" w:hAnsi="Times New Roman" w:eastAsia="仿宋_GB2312"/>
          <w:sz w:val="32"/>
          <w:szCs w:val="32"/>
        </w:rPr>
        <w:t>高标准完好仓容达</w:t>
      </w:r>
      <w:r>
        <w:rPr>
          <w:rFonts w:ascii="仿宋_GB2312" w:hAnsi="Times New Roman" w:eastAsia="仿宋_GB2312" w:cs="Times New Roman"/>
          <w:sz w:val="32"/>
          <w:szCs w:val="32"/>
        </w:rPr>
        <w:t>35</w:t>
      </w:r>
      <w:r>
        <w:rPr>
          <w:rFonts w:hint="eastAsia" w:ascii="仿宋_GB2312" w:hAnsi="Times New Roman" w:eastAsia="仿宋_GB2312"/>
          <w:sz w:val="32"/>
          <w:szCs w:val="32"/>
        </w:rPr>
        <w:t>万吨，</w:t>
      </w:r>
      <w:r>
        <w:rPr>
          <w:rFonts w:hint="eastAsia" w:ascii="仿宋_GB2312" w:hAnsi="Times New Roman" w:eastAsia="仿宋_GB2312" w:cs="Times New Roman"/>
          <w:sz w:val="32"/>
          <w:szCs w:val="32"/>
        </w:rPr>
        <w:t>提升中心</w:t>
      </w:r>
      <w:r>
        <w:rPr>
          <w:rFonts w:hint="eastAsia" w:ascii="仿宋_GB2312" w:hAnsi="Times New Roman" w:eastAsia="仿宋_GB2312"/>
          <w:sz w:val="32"/>
          <w:szCs w:val="32"/>
        </w:rPr>
        <w:t>粮库信息化、智能化</w:t>
      </w:r>
      <w:r>
        <w:rPr>
          <w:rFonts w:hint="eastAsia" w:ascii="仿宋_GB2312" w:hAnsi="Times New Roman" w:eastAsia="仿宋_GB2312" w:cs="Times New Roman"/>
          <w:sz w:val="32"/>
          <w:szCs w:val="32"/>
        </w:rPr>
        <w:t>应用水平</w:t>
      </w:r>
      <w:r>
        <w:rPr>
          <w:rFonts w:hint="eastAsia" w:ascii="仿宋_GB2312" w:eastAsia="仿宋_GB2312"/>
          <w:sz w:val="32"/>
        </w:rPr>
        <w:t>。</w:t>
      </w:r>
    </w:p>
    <w:p>
      <w:pPr>
        <w:ind w:firstLine="643" w:firstLineChars="200"/>
        <w:rPr>
          <w:rFonts w:ascii="仿宋_GB2312" w:eastAsia="仿宋_GB2312"/>
          <w:sz w:val="32"/>
        </w:rPr>
      </w:pPr>
      <w:r>
        <w:rPr>
          <w:rFonts w:hint="eastAsia" w:ascii="仿宋_GB2312" w:eastAsia="仿宋_GB2312"/>
          <w:b/>
          <w:bCs/>
          <w:sz w:val="32"/>
        </w:rPr>
        <w:t>人才科技支撑更有力。</w:t>
      </w:r>
      <w:r>
        <w:rPr>
          <w:rFonts w:hint="eastAsia" w:ascii="仿宋_GB2312" w:eastAsia="仿宋_GB2312"/>
          <w:sz w:val="32"/>
        </w:rPr>
        <w:t>扎实推进科技兴粮、科技兴储，积极实施人才兴粮、人才兴储，以科技引领粮食和物资储备管理效能不断提升，以人才支撑治理体系和治理能力现代化。</w:t>
      </w:r>
      <w:r>
        <w:rPr>
          <w:rFonts w:ascii="仿宋_GB2312" w:eastAsia="仿宋_GB2312"/>
          <w:sz w:val="32"/>
        </w:rPr>
        <w:t>人才总体状况得到较大改善</w:t>
      </w:r>
      <w:r>
        <w:rPr>
          <w:rFonts w:hint="eastAsia" w:ascii="仿宋_GB2312" w:eastAsia="仿宋_GB2312"/>
          <w:sz w:val="32"/>
        </w:rPr>
        <w:t>，</w:t>
      </w:r>
      <w:r>
        <w:rPr>
          <w:rFonts w:ascii="仿宋_GB2312" w:eastAsia="仿宋_GB2312"/>
          <w:sz w:val="32"/>
        </w:rPr>
        <w:t>初步建成与</w:t>
      </w:r>
      <w:r>
        <w:rPr>
          <w:rFonts w:hint="eastAsia" w:ascii="仿宋_GB2312" w:eastAsia="仿宋_GB2312"/>
          <w:sz w:val="32"/>
        </w:rPr>
        <w:t>桂林市粮食和物资</w:t>
      </w:r>
      <w:r>
        <w:rPr>
          <w:rFonts w:ascii="仿宋_GB2312" w:eastAsia="仿宋_GB2312"/>
          <w:sz w:val="32"/>
        </w:rPr>
        <w:t>储备事业</w:t>
      </w:r>
      <w:r>
        <w:rPr>
          <w:rFonts w:hint="eastAsia" w:ascii="仿宋_GB2312" w:eastAsia="仿宋_GB2312"/>
          <w:sz w:val="32"/>
        </w:rPr>
        <w:t>高质量</w:t>
      </w:r>
      <w:r>
        <w:rPr>
          <w:rFonts w:ascii="仿宋_GB2312" w:eastAsia="仿宋_GB2312"/>
          <w:sz w:val="32"/>
        </w:rPr>
        <w:t>发展相适应的人才体系</w:t>
      </w:r>
      <w:r>
        <w:rPr>
          <w:rFonts w:hint="eastAsia" w:ascii="仿宋_GB2312" w:eastAsia="仿宋_GB2312"/>
          <w:sz w:val="32"/>
        </w:rPr>
        <w:t>；加快转化粮储科技成果，不断放大技术转移成效，绿色储粮、数字化等先进适用技术得到广泛应用。</w:t>
      </w:r>
    </w:p>
    <w:p>
      <w:pPr>
        <w:ind w:firstLine="643" w:firstLineChars="200"/>
        <w:rPr>
          <w:rFonts w:ascii="仿宋_GB2312" w:eastAsia="仿宋_GB2312"/>
          <w:sz w:val="32"/>
        </w:rPr>
      </w:pPr>
      <w:r>
        <w:rPr>
          <w:rFonts w:hint="eastAsia" w:ascii="仿宋_GB2312" w:eastAsia="仿宋_GB2312"/>
          <w:b/>
          <w:bCs/>
          <w:sz w:val="32"/>
        </w:rPr>
        <w:t>行业治理更规范。</w:t>
      </w:r>
      <w:r>
        <w:rPr>
          <w:rFonts w:hint="eastAsia" w:ascii="仿宋_GB2312" w:eastAsia="仿宋_GB2312"/>
          <w:sz w:val="32"/>
        </w:rPr>
        <w:t>不断创新完善监管机制、制度和方式，着力推进粮食流通监管手段的现代化、信息化。健全粮食质量安全监管制度和标准，粮食质量安全检测监管能力不断加强，质量安全追溯体系基本建成。</w:t>
      </w:r>
    </w:p>
    <w:p>
      <w:pPr>
        <w:snapToGrid w:val="0"/>
        <w:jc w:val="center"/>
        <w:rPr>
          <w:rFonts w:ascii="楷体_GB2312" w:eastAsia="楷体_GB2312"/>
          <w:b/>
          <w:sz w:val="28"/>
          <w:szCs w:val="28"/>
        </w:rPr>
      </w:pPr>
    </w:p>
    <w:p>
      <w:pPr>
        <w:snapToGrid w:val="0"/>
        <w:jc w:val="center"/>
        <w:rPr>
          <w:rFonts w:ascii="楷体_GB2312" w:eastAsia="楷体_GB2312"/>
          <w:b/>
          <w:sz w:val="28"/>
          <w:szCs w:val="28"/>
        </w:rPr>
      </w:pPr>
      <w:r>
        <w:rPr>
          <w:rFonts w:hint="eastAsia" w:ascii="楷体_GB2312" w:eastAsia="楷体_GB2312"/>
          <w:b/>
          <w:sz w:val="28"/>
          <w:szCs w:val="28"/>
        </w:rPr>
        <w:t>表</w:t>
      </w:r>
      <w:r>
        <w:rPr>
          <w:rFonts w:ascii="楷体_GB2312" w:eastAsia="楷体_GB2312"/>
          <w:b/>
          <w:sz w:val="28"/>
          <w:szCs w:val="28"/>
        </w:rPr>
        <w:t xml:space="preserve">1 </w:t>
      </w:r>
      <w:r>
        <w:rPr>
          <w:rFonts w:hint="eastAsia" w:ascii="楷体_GB2312" w:eastAsia="楷体_GB2312"/>
          <w:b/>
          <w:sz w:val="28"/>
          <w:szCs w:val="28"/>
        </w:rPr>
        <w:t>“十四五”时期粮食和物资储备高质量发展主要指标</w:t>
      </w:r>
    </w:p>
    <w:tbl>
      <w:tblPr>
        <w:tblStyle w:val="15"/>
        <w:tblW w:w="89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
      <w:tblGrid>
        <w:gridCol w:w="699"/>
        <w:gridCol w:w="709"/>
        <w:gridCol w:w="4394"/>
        <w:gridCol w:w="1079"/>
        <w:gridCol w:w="1032"/>
        <w:gridCol w:w="10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tblHeader/>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序号</w:t>
            </w:r>
          </w:p>
        </w:tc>
        <w:tc>
          <w:tcPr>
            <w:tcW w:w="70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类别</w:t>
            </w:r>
          </w:p>
        </w:tc>
        <w:tc>
          <w:tcPr>
            <w:tcW w:w="4394"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发展指标</w:t>
            </w:r>
          </w:p>
        </w:tc>
        <w:tc>
          <w:tcPr>
            <w:tcW w:w="107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2020年</w:t>
            </w:r>
          </w:p>
        </w:tc>
        <w:tc>
          <w:tcPr>
            <w:tcW w:w="1032"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2025年</w:t>
            </w: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属性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1</w:t>
            </w:r>
          </w:p>
        </w:tc>
        <w:tc>
          <w:tcPr>
            <w:tcW w:w="709" w:type="dxa"/>
            <w:vMerge w:val="restart"/>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安全保障</w:t>
            </w: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粮食播种面积（万公顷）</w:t>
            </w:r>
          </w:p>
        </w:tc>
        <w:tc>
          <w:tcPr>
            <w:tcW w:w="1079" w:type="dxa"/>
            <w:vAlign w:val="center"/>
          </w:tcPr>
          <w:p>
            <w:pPr>
              <w:overflowPunct w:val="0"/>
              <w:snapToGrid w:val="0"/>
              <w:jc w:val="center"/>
              <w:rPr>
                <w:rFonts w:ascii="楷体_GB2312" w:eastAsia="楷体_GB2312"/>
                <w:sz w:val="28"/>
                <w:szCs w:val="28"/>
              </w:rPr>
            </w:pPr>
            <w:r>
              <w:rPr>
                <w:rFonts w:ascii="楷体_GB2312" w:eastAsia="楷体_GB2312"/>
                <w:sz w:val="28"/>
                <w:szCs w:val="28"/>
              </w:rPr>
              <w:t>33.74</w:t>
            </w:r>
          </w:p>
        </w:tc>
        <w:tc>
          <w:tcPr>
            <w:tcW w:w="1032"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3</w:t>
            </w:r>
            <w:r>
              <w:rPr>
                <w:rFonts w:ascii="楷体_GB2312" w:eastAsia="楷体_GB2312"/>
                <w:sz w:val="28"/>
                <w:szCs w:val="28"/>
              </w:rPr>
              <w:t>4.00</w:t>
            </w: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2</w:t>
            </w:r>
          </w:p>
        </w:tc>
        <w:tc>
          <w:tcPr>
            <w:tcW w:w="709" w:type="dxa"/>
            <w:vMerge w:val="continue"/>
            <w:vAlign w:val="center"/>
          </w:tcPr>
          <w:p>
            <w:pPr>
              <w:overflowPunct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粮食总产</w:t>
            </w:r>
            <w:r>
              <w:rPr>
                <w:rFonts w:ascii="楷体_GB2312" w:eastAsia="楷体_GB2312"/>
                <w:sz w:val="28"/>
                <w:szCs w:val="28"/>
              </w:rPr>
              <w:t>量</w:t>
            </w:r>
            <w:r>
              <w:rPr>
                <w:rFonts w:hint="eastAsia" w:ascii="楷体_GB2312" w:eastAsia="楷体_GB2312"/>
                <w:sz w:val="28"/>
                <w:szCs w:val="28"/>
              </w:rPr>
              <w:t>（万吨）</w:t>
            </w:r>
          </w:p>
        </w:tc>
        <w:tc>
          <w:tcPr>
            <w:tcW w:w="1079" w:type="dxa"/>
            <w:vAlign w:val="center"/>
          </w:tcPr>
          <w:p>
            <w:pPr>
              <w:overflowPunct w:val="0"/>
              <w:snapToGrid w:val="0"/>
              <w:jc w:val="center"/>
              <w:rPr>
                <w:rFonts w:ascii="楷体_GB2312" w:eastAsia="楷体_GB2312"/>
                <w:sz w:val="28"/>
                <w:szCs w:val="28"/>
              </w:rPr>
            </w:pPr>
            <w:r>
              <w:rPr>
                <w:rFonts w:ascii="楷体_GB2312" w:eastAsia="楷体_GB2312"/>
                <w:sz w:val="28"/>
                <w:szCs w:val="28"/>
              </w:rPr>
              <w:t>176.98</w:t>
            </w:r>
          </w:p>
        </w:tc>
        <w:tc>
          <w:tcPr>
            <w:tcW w:w="1032"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1</w:t>
            </w:r>
            <w:r>
              <w:rPr>
                <w:rFonts w:ascii="楷体_GB2312" w:eastAsia="楷体_GB2312"/>
                <w:sz w:val="28"/>
                <w:szCs w:val="28"/>
              </w:rPr>
              <w:t>78.00</w:t>
            </w: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3</w:t>
            </w:r>
          </w:p>
        </w:tc>
        <w:tc>
          <w:tcPr>
            <w:tcW w:w="709" w:type="dxa"/>
            <w:vMerge w:val="continue"/>
            <w:vAlign w:val="center"/>
          </w:tcPr>
          <w:p>
            <w:pPr>
              <w:overflowPunct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地方粮食储备规模（万吨）</w:t>
            </w:r>
          </w:p>
        </w:tc>
        <w:tc>
          <w:tcPr>
            <w:tcW w:w="1079" w:type="dxa"/>
            <w:vAlign w:val="center"/>
          </w:tcPr>
          <w:p>
            <w:pPr>
              <w:overflowPunct w:val="0"/>
              <w:snapToGrid w:val="0"/>
              <w:jc w:val="center"/>
              <w:rPr>
                <w:rFonts w:ascii="楷体_GB2312" w:eastAsia="楷体_GB2312"/>
                <w:sz w:val="28"/>
                <w:szCs w:val="28"/>
              </w:rPr>
            </w:pPr>
          </w:p>
        </w:tc>
        <w:tc>
          <w:tcPr>
            <w:tcW w:w="1032" w:type="dxa"/>
            <w:vAlign w:val="center"/>
          </w:tcPr>
          <w:p>
            <w:pPr>
              <w:overflowPunct w:val="0"/>
              <w:snapToGrid w:val="0"/>
              <w:jc w:val="center"/>
              <w:rPr>
                <w:rFonts w:ascii="楷体_GB2312" w:eastAsia="楷体_GB2312"/>
                <w:sz w:val="28"/>
                <w:szCs w:val="28"/>
              </w:rPr>
            </w:pP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4</w:t>
            </w:r>
          </w:p>
        </w:tc>
        <w:tc>
          <w:tcPr>
            <w:tcW w:w="709" w:type="dxa"/>
            <w:vMerge w:val="continue"/>
            <w:vAlign w:val="center"/>
          </w:tcPr>
          <w:p>
            <w:pPr>
              <w:overflowPunct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政府粮食储备规模</w:t>
            </w:r>
            <w:bookmarkStart w:id="13" w:name="OLE_LINK14"/>
            <w:r>
              <w:rPr>
                <w:rFonts w:hint="eastAsia" w:ascii="楷体_GB2312" w:eastAsia="楷体_GB2312"/>
                <w:sz w:val="28"/>
                <w:szCs w:val="28"/>
              </w:rPr>
              <w:t>（万吨）</w:t>
            </w:r>
            <w:bookmarkEnd w:id="13"/>
          </w:p>
        </w:tc>
        <w:tc>
          <w:tcPr>
            <w:tcW w:w="1079" w:type="dxa"/>
            <w:vAlign w:val="center"/>
          </w:tcPr>
          <w:p>
            <w:pPr>
              <w:overflowPunct w:val="0"/>
              <w:snapToGrid w:val="0"/>
              <w:jc w:val="center"/>
              <w:rPr>
                <w:rFonts w:ascii="楷体_GB2312" w:eastAsia="楷体_GB2312"/>
                <w:sz w:val="28"/>
                <w:szCs w:val="28"/>
              </w:rPr>
            </w:pPr>
            <w:r>
              <w:rPr>
                <w:rFonts w:ascii="楷体_GB2312" w:eastAsia="楷体_GB2312"/>
                <w:sz w:val="28"/>
                <w:szCs w:val="28"/>
              </w:rPr>
              <w:t>10</w:t>
            </w:r>
          </w:p>
        </w:tc>
        <w:tc>
          <w:tcPr>
            <w:tcW w:w="1032" w:type="dxa"/>
            <w:vAlign w:val="center"/>
          </w:tcPr>
          <w:p>
            <w:pPr>
              <w:overflowPunct w:val="0"/>
              <w:snapToGrid w:val="0"/>
              <w:jc w:val="center"/>
              <w:rPr>
                <w:rFonts w:ascii="楷体_GB2312" w:eastAsia="楷体_GB2312"/>
                <w:sz w:val="28"/>
                <w:szCs w:val="28"/>
              </w:rPr>
            </w:pPr>
            <w:r>
              <w:rPr>
                <w:rFonts w:ascii="楷体_GB2312" w:eastAsia="楷体_GB2312"/>
                <w:sz w:val="28"/>
                <w:szCs w:val="28"/>
              </w:rPr>
              <w:t>12</w:t>
            </w: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5</w:t>
            </w:r>
          </w:p>
        </w:tc>
        <w:tc>
          <w:tcPr>
            <w:tcW w:w="709" w:type="dxa"/>
            <w:vMerge w:val="continue"/>
            <w:vAlign w:val="center"/>
          </w:tcPr>
          <w:p>
            <w:pPr>
              <w:overflowPunct w:val="0"/>
              <w:autoSpaceDE w:val="0"/>
              <w:adjustRightInd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地方食用油储备规模（万吨）</w:t>
            </w:r>
          </w:p>
        </w:tc>
        <w:tc>
          <w:tcPr>
            <w:tcW w:w="1079" w:type="dxa"/>
            <w:vAlign w:val="center"/>
          </w:tcPr>
          <w:p>
            <w:pPr>
              <w:overflowPunct w:val="0"/>
              <w:snapToGrid w:val="0"/>
              <w:jc w:val="center"/>
              <w:rPr>
                <w:rFonts w:ascii="楷体_GB2312" w:eastAsia="楷体_GB2312"/>
                <w:sz w:val="28"/>
                <w:szCs w:val="28"/>
              </w:rPr>
            </w:pPr>
            <w:r>
              <w:rPr>
                <w:rFonts w:ascii="楷体_GB2312" w:eastAsia="楷体_GB2312"/>
                <w:sz w:val="28"/>
                <w:szCs w:val="28"/>
              </w:rPr>
              <w:t>0.2</w:t>
            </w:r>
          </w:p>
        </w:tc>
        <w:tc>
          <w:tcPr>
            <w:tcW w:w="1032" w:type="dxa"/>
            <w:vAlign w:val="center"/>
          </w:tcPr>
          <w:p>
            <w:pPr>
              <w:overflowPunct w:val="0"/>
              <w:snapToGrid w:val="0"/>
              <w:jc w:val="center"/>
              <w:rPr>
                <w:rFonts w:ascii="楷体_GB2312" w:eastAsia="楷体_GB2312"/>
                <w:sz w:val="28"/>
                <w:szCs w:val="28"/>
              </w:rPr>
            </w:pPr>
            <w:r>
              <w:rPr>
                <w:rFonts w:ascii="楷体_GB2312" w:eastAsia="楷体_GB2312"/>
                <w:sz w:val="28"/>
                <w:szCs w:val="28"/>
              </w:rPr>
              <w:t>0.3</w:t>
            </w:r>
          </w:p>
        </w:tc>
        <w:tc>
          <w:tcPr>
            <w:tcW w:w="1008" w:type="dxa"/>
            <w:vAlign w:val="center"/>
          </w:tcPr>
          <w:p>
            <w:pPr>
              <w:overflowPunct w:val="0"/>
              <w:snapToGrid w:val="0"/>
              <w:jc w:val="center"/>
              <w:rPr>
                <w:rFonts w:ascii="楷体_GB2312" w:eastAsia="楷体_GB2312"/>
                <w:sz w:val="28"/>
                <w:szCs w:val="28"/>
              </w:rPr>
            </w:pPr>
            <w:bookmarkStart w:id="14" w:name="OLE_LINK17"/>
            <w:r>
              <w:rPr>
                <w:rFonts w:hint="eastAsia" w:ascii="楷体_GB2312" w:eastAsia="楷体_GB2312"/>
                <w:sz w:val="28"/>
                <w:szCs w:val="28"/>
              </w:rPr>
              <w:t>约束性</w:t>
            </w:r>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6</w:t>
            </w:r>
          </w:p>
        </w:tc>
        <w:tc>
          <w:tcPr>
            <w:tcW w:w="709" w:type="dxa"/>
            <w:vMerge w:val="continue"/>
            <w:vAlign w:val="center"/>
          </w:tcPr>
          <w:p>
            <w:pPr>
              <w:overflowPunct w:val="0"/>
              <w:autoSpaceDE w:val="0"/>
              <w:adjustRightInd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粮食应急加工能力（吨/天）</w:t>
            </w:r>
          </w:p>
        </w:tc>
        <w:tc>
          <w:tcPr>
            <w:tcW w:w="1079" w:type="dxa"/>
            <w:vAlign w:val="center"/>
          </w:tcPr>
          <w:p>
            <w:pPr>
              <w:overflowPunct w:val="0"/>
              <w:snapToGrid w:val="0"/>
              <w:jc w:val="center"/>
              <w:rPr>
                <w:rFonts w:ascii="楷体_GB2312" w:eastAsia="楷体_GB2312"/>
                <w:sz w:val="28"/>
                <w:szCs w:val="28"/>
              </w:rPr>
            </w:pPr>
            <w:r>
              <w:rPr>
                <w:rFonts w:ascii="楷体_GB2312" w:eastAsia="楷体_GB2312"/>
                <w:sz w:val="28"/>
                <w:szCs w:val="28"/>
              </w:rPr>
              <w:t>4000</w:t>
            </w:r>
          </w:p>
        </w:tc>
        <w:tc>
          <w:tcPr>
            <w:tcW w:w="1032" w:type="dxa"/>
            <w:vAlign w:val="center"/>
          </w:tcPr>
          <w:p>
            <w:pPr>
              <w:overflowPunct w:val="0"/>
              <w:snapToGrid w:val="0"/>
              <w:jc w:val="center"/>
              <w:rPr>
                <w:rFonts w:ascii="楷体_GB2312" w:eastAsia="楷体_GB2312"/>
                <w:sz w:val="28"/>
                <w:szCs w:val="28"/>
              </w:rPr>
            </w:pPr>
            <w:r>
              <w:rPr>
                <w:rFonts w:ascii="楷体_GB2312" w:eastAsia="楷体_GB2312"/>
                <w:sz w:val="28"/>
                <w:szCs w:val="28"/>
              </w:rPr>
              <w:t>4500</w:t>
            </w: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7</w:t>
            </w:r>
          </w:p>
        </w:tc>
        <w:tc>
          <w:tcPr>
            <w:tcW w:w="709" w:type="dxa"/>
            <w:vMerge w:val="continue"/>
            <w:vAlign w:val="center"/>
          </w:tcPr>
          <w:p>
            <w:pPr>
              <w:overflowPunct w:val="0"/>
              <w:autoSpaceDE w:val="0"/>
              <w:adjustRightInd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物资储备规模落实率（%）</w:t>
            </w:r>
          </w:p>
        </w:tc>
        <w:tc>
          <w:tcPr>
            <w:tcW w:w="1079" w:type="dxa"/>
            <w:vAlign w:val="center"/>
          </w:tcPr>
          <w:p>
            <w:pPr>
              <w:overflowPunct w:val="0"/>
              <w:snapToGrid w:val="0"/>
              <w:jc w:val="center"/>
              <w:rPr>
                <w:rFonts w:ascii="楷体_GB2312" w:eastAsia="楷体_GB2312"/>
                <w:sz w:val="28"/>
                <w:szCs w:val="28"/>
              </w:rPr>
            </w:pPr>
            <w:r>
              <w:rPr>
                <w:rFonts w:ascii="楷体_GB2312" w:eastAsia="楷体_GB2312"/>
                <w:sz w:val="28"/>
                <w:szCs w:val="28"/>
              </w:rPr>
              <w:t>-</w:t>
            </w:r>
          </w:p>
        </w:tc>
        <w:tc>
          <w:tcPr>
            <w:tcW w:w="1032"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1</w:t>
            </w:r>
            <w:r>
              <w:rPr>
                <w:rFonts w:ascii="楷体_GB2312" w:eastAsia="楷体_GB2312"/>
                <w:sz w:val="28"/>
                <w:szCs w:val="28"/>
              </w:rPr>
              <w:t>00</w:t>
            </w: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8</w:t>
            </w:r>
          </w:p>
        </w:tc>
        <w:tc>
          <w:tcPr>
            <w:tcW w:w="709" w:type="dxa"/>
            <w:vMerge w:val="continue"/>
            <w:vAlign w:val="center"/>
          </w:tcPr>
          <w:p>
            <w:pPr>
              <w:overflowPunct w:val="0"/>
              <w:autoSpaceDE w:val="0"/>
              <w:adjustRightInd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物资储备库规模（万平方米）</w:t>
            </w:r>
          </w:p>
        </w:tc>
        <w:tc>
          <w:tcPr>
            <w:tcW w:w="1079" w:type="dxa"/>
            <w:vAlign w:val="center"/>
          </w:tcPr>
          <w:p>
            <w:pPr>
              <w:overflowPunct w:val="0"/>
              <w:snapToGrid w:val="0"/>
              <w:jc w:val="center"/>
              <w:rPr>
                <w:rFonts w:ascii="楷体_GB2312" w:eastAsia="楷体_GB2312"/>
                <w:sz w:val="28"/>
                <w:szCs w:val="28"/>
              </w:rPr>
            </w:pPr>
          </w:p>
        </w:tc>
        <w:tc>
          <w:tcPr>
            <w:tcW w:w="1032" w:type="dxa"/>
            <w:vAlign w:val="center"/>
          </w:tcPr>
          <w:p>
            <w:pPr>
              <w:overflowPunct w:val="0"/>
              <w:snapToGrid w:val="0"/>
              <w:jc w:val="center"/>
              <w:rPr>
                <w:rFonts w:ascii="楷体_GB2312" w:eastAsia="楷体_GB2312"/>
                <w:sz w:val="28"/>
                <w:szCs w:val="28"/>
              </w:rPr>
            </w:pP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9</w:t>
            </w:r>
          </w:p>
        </w:tc>
        <w:tc>
          <w:tcPr>
            <w:tcW w:w="709" w:type="dxa"/>
            <w:vMerge w:val="restart"/>
            <w:vAlign w:val="center"/>
          </w:tcPr>
          <w:p>
            <w:pPr>
              <w:overflowPunct w:val="0"/>
              <w:autoSpaceDE w:val="0"/>
              <w:adjustRightInd w:val="0"/>
              <w:snapToGrid w:val="0"/>
              <w:jc w:val="center"/>
              <w:rPr>
                <w:rFonts w:ascii="楷体_GB2312" w:eastAsia="楷体_GB2312"/>
                <w:sz w:val="28"/>
                <w:szCs w:val="28"/>
              </w:rPr>
            </w:pPr>
            <w:bookmarkStart w:id="15" w:name="_Toc71192905"/>
            <w:r>
              <w:rPr>
                <w:rFonts w:hint="eastAsia" w:ascii="楷体_GB2312" w:eastAsia="楷体_GB2312"/>
                <w:sz w:val="28"/>
                <w:szCs w:val="28"/>
              </w:rPr>
              <w:t>产业支撑</w:t>
            </w:r>
            <w:bookmarkEnd w:id="15"/>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粮油加工业产值（亿元）</w:t>
            </w:r>
          </w:p>
        </w:tc>
        <w:tc>
          <w:tcPr>
            <w:tcW w:w="107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5</w:t>
            </w:r>
            <w:r>
              <w:rPr>
                <w:rFonts w:ascii="楷体_GB2312" w:eastAsia="楷体_GB2312"/>
                <w:sz w:val="28"/>
                <w:szCs w:val="28"/>
              </w:rPr>
              <w:t>4</w:t>
            </w:r>
          </w:p>
        </w:tc>
        <w:tc>
          <w:tcPr>
            <w:tcW w:w="1032"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6</w:t>
            </w:r>
            <w:r>
              <w:rPr>
                <w:rFonts w:ascii="楷体_GB2312" w:eastAsia="楷体_GB2312"/>
                <w:sz w:val="28"/>
                <w:szCs w:val="28"/>
              </w:rPr>
              <w:t>0</w:t>
            </w: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1</w:t>
            </w:r>
            <w:r>
              <w:rPr>
                <w:rFonts w:ascii="楷体_GB2312" w:eastAsia="楷体_GB2312"/>
                <w:sz w:val="28"/>
                <w:szCs w:val="28"/>
              </w:rPr>
              <w:t>0</w:t>
            </w:r>
          </w:p>
        </w:tc>
        <w:tc>
          <w:tcPr>
            <w:tcW w:w="709" w:type="dxa"/>
            <w:vMerge w:val="continue"/>
            <w:vAlign w:val="center"/>
          </w:tcPr>
          <w:p>
            <w:pPr>
              <w:overflowPunct w:val="0"/>
              <w:autoSpaceDE w:val="0"/>
              <w:adjustRightInd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ascii="楷体_GB2312" w:eastAsia="楷体_GB2312"/>
                <w:sz w:val="28"/>
                <w:szCs w:val="28"/>
              </w:rPr>
              <w:t>“</w:t>
            </w:r>
            <w:r>
              <w:rPr>
                <w:rFonts w:hint="eastAsia" w:ascii="楷体_GB2312" w:eastAsia="楷体_GB2312"/>
                <w:sz w:val="28"/>
                <w:szCs w:val="28"/>
              </w:rPr>
              <w:t>广西香米</w:t>
            </w:r>
            <w:r>
              <w:rPr>
                <w:rFonts w:ascii="楷体_GB2312" w:eastAsia="楷体_GB2312"/>
                <w:sz w:val="28"/>
                <w:szCs w:val="28"/>
              </w:rPr>
              <w:t>”</w:t>
            </w:r>
            <w:r>
              <w:rPr>
                <w:rFonts w:hint="eastAsia" w:ascii="楷体_GB2312" w:eastAsia="楷体_GB2312"/>
                <w:sz w:val="28"/>
                <w:szCs w:val="28"/>
              </w:rPr>
              <w:t>产量（万吨）</w:t>
            </w:r>
          </w:p>
        </w:tc>
        <w:tc>
          <w:tcPr>
            <w:tcW w:w="107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8</w:t>
            </w:r>
          </w:p>
        </w:tc>
        <w:tc>
          <w:tcPr>
            <w:tcW w:w="1032"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1</w:t>
            </w:r>
            <w:r>
              <w:rPr>
                <w:rFonts w:ascii="楷体_GB2312" w:eastAsia="楷体_GB2312"/>
                <w:sz w:val="28"/>
                <w:szCs w:val="28"/>
              </w:rPr>
              <w:t>0</w:t>
            </w: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1</w:t>
            </w:r>
            <w:r>
              <w:rPr>
                <w:rFonts w:ascii="楷体_GB2312" w:eastAsia="楷体_GB2312"/>
                <w:sz w:val="28"/>
                <w:szCs w:val="28"/>
              </w:rPr>
              <w:t>1</w:t>
            </w:r>
          </w:p>
        </w:tc>
        <w:tc>
          <w:tcPr>
            <w:tcW w:w="709" w:type="dxa"/>
            <w:vMerge w:val="continue"/>
            <w:vAlign w:val="center"/>
          </w:tcPr>
          <w:p>
            <w:pPr>
              <w:overflowPunct w:val="0"/>
              <w:autoSpaceDE w:val="0"/>
              <w:adjustRightInd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ascii="楷体_GB2312" w:eastAsia="楷体_GB2312"/>
                <w:sz w:val="28"/>
                <w:szCs w:val="28"/>
              </w:rPr>
              <w:t>“</w:t>
            </w:r>
            <w:r>
              <w:rPr>
                <w:rFonts w:hint="eastAsia" w:ascii="楷体_GB2312" w:eastAsia="楷体_GB2312"/>
                <w:sz w:val="28"/>
                <w:szCs w:val="28"/>
              </w:rPr>
              <w:t>广西好粮油</w:t>
            </w:r>
            <w:r>
              <w:rPr>
                <w:rFonts w:ascii="楷体_GB2312" w:eastAsia="楷体_GB2312"/>
                <w:sz w:val="28"/>
                <w:szCs w:val="28"/>
              </w:rPr>
              <w:t>”</w:t>
            </w:r>
            <w:r>
              <w:rPr>
                <w:rFonts w:hint="eastAsia" w:ascii="楷体_GB2312" w:eastAsia="楷体_GB2312"/>
                <w:sz w:val="28"/>
                <w:szCs w:val="28"/>
              </w:rPr>
              <w:t>产品（个）</w:t>
            </w:r>
          </w:p>
        </w:tc>
        <w:tc>
          <w:tcPr>
            <w:tcW w:w="1079" w:type="dxa"/>
            <w:vAlign w:val="center"/>
          </w:tcPr>
          <w:p>
            <w:pPr>
              <w:overflowPunct w:val="0"/>
              <w:snapToGrid w:val="0"/>
              <w:jc w:val="center"/>
              <w:rPr>
                <w:rFonts w:ascii="楷体_GB2312" w:eastAsia="楷体_GB2312"/>
                <w:sz w:val="28"/>
                <w:szCs w:val="28"/>
              </w:rPr>
            </w:pPr>
            <w:r>
              <w:rPr>
                <w:rFonts w:ascii="楷体_GB2312" w:eastAsia="楷体_GB2312"/>
                <w:sz w:val="28"/>
                <w:szCs w:val="28"/>
              </w:rPr>
              <w:t>15</w:t>
            </w:r>
          </w:p>
        </w:tc>
        <w:tc>
          <w:tcPr>
            <w:tcW w:w="1032" w:type="dxa"/>
            <w:vAlign w:val="center"/>
          </w:tcPr>
          <w:p>
            <w:pPr>
              <w:overflowPunct w:val="0"/>
              <w:snapToGrid w:val="0"/>
              <w:jc w:val="center"/>
              <w:rPr>
                <w:rFonts w:ascii="楷体_GB2312" w:eastAsia="楷体_GB2312"/>
                <w:sz w:val="28"/>
                <w:szCs w:val="28"/>
              </w:rPr>
            </w:pPr>
            <w:r>
              <w:rPr>
                <w:rFonts w:ascii="楷体_GB2312" w:eastAsia="楷体_GB2312"/>
                <w:sz w:val="28"/>
                <w:szCs w:val="28"/>
              </w:rPr>
              <w:t>20</w:t>
            </w: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1</w:t>
            </w:r>
            <w:r>
              <w:rPr>
                <w:rFonts w:ascii="楷体_GB2312" w:eastAsia="楷体_GB2312"/>
                <w:sz w:val="28"/>
                <w:szCs w:val="28"/>
              </w:rPr>
              <w:t>2</w:t>
            </w:r>
          </w:p>
        </w:tc>
        <w:tc>
          <w:tcPr>
            <w:tcW w:w="709" w:type="dxa"/>
            <w:vMerge w:val="continue"/>
            <w:vAlign w:val="center"/>
          </w:tcPr>
          <w:p>
            <w:pPr>
              <w:overflowPunct w:val="0"/>
              <w:autoSpaceDE w:val="0"/>
              <w:adjustRightInd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广西优质稻种植面积（万亩）</w:t>
            </w:r>
          </w:p>
        </w:tc>
        <w:tc>
          <w:tcPr>
            <w:tcW w:w="1079" w:type="dxa"/>
            <w:vAlign w:val="center"/>
          </w:tcPr>
          <w:p>
            <w:pPr>
              <w:overflowPunct w:val="0"/>
              <w:snapToGrid w:val="0"/>
              <w:jc w:val="center"/>
              <w:rPr>
                <w:rFonts w:ascii="楷体_GB2312" w:eastAsia="楷体_GB2312"/>
                <w:sz w:val="28"/>
                <w:szCs w:val="28"/>
              </w:rPr>
            </w:pPr>
            <w:r>
              <w:rPr>
                <w:rFonts w:ascii="楷体_GB2312" w:eastAsia="楷体_GB2312"/>
                <w:sz w:val="28"/>
                <w:szCs w:val="28"/>
              </w:rPr>
              <w:t>85</w:t>
            </w:r>
          </w:p>
        </w:tc>
        <w:tc>
          <w:tcPr>
            <w:tcW w:w="1032" w:type="dxa"/>
            <w:vAlign w:val="center"/>
          </w:tcPr>
          <w:p>
            <w:pPr>
              <w:overflowPunct w:val="0"/>
              <w:snapToGrid w:val="0"/>
              <w:jc w:val="center"/>
              <w:rPr>
                <w:rFonts w:ascii="楷体_GB2312" w:eastAsia="楷体_GB2312"/>
                <w:sz w:val="28"/>
                <w:szCs w:val="28"/>
              </w:rPr>
            </w:pPr>
            <w:r>
              <w:rPr>
                <w:rFonts w:ascii="楷体_GB2312" w:eastAsia="楷体_GB2312"/>
                <w:sz w:val="28"/>
                <w:szCs w:val="28"/>
              </w:rPr>
              <w:t>100</w:t>
            </w: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ascii="楷体_GB2312" w:eastAsia="楷体_GB2312"/>
                <w:sz w:val="28"/>
                <w:szCs w:val="28"/>
              </w:rPr>
              <w:t>13</w:t>
            </w:r>
          </w:p>
        </w:tc>
        <w:tc>
          <w:tcPr>
            <w:tcW w:w="709" w:type="dxa"/>
            <w:vMerge w:val="continue"/>
            <w:vAlign w:val="center"/>
          </w:tcPr>
          <w:p>
            <w:pPr>
              <w:overflowPunct w:val="0"/>
              <w:autoSpaceDE w:val="0"/>
              <w:adjustRightInd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主营收入10亿元以上的企业数量（个）</w:t>
            </w:r>
          </w:p>
        </w:tc>
        <w:tc>
          <w:tcPr>
            <w:tcW w:w="1079" w:type="dxa"/>
            <w:vAlign w:val="center"/>
          </w:tcPr>
          <w:p>
            <w:pPr>
              <w:overflowPunct w:val="0"/>
              <w:snapToGrid w:val="0"/>
              <w:jc w:val="center"/>
              <w:rPr>
                <w:rFonts w:ascii="楷体_GB2312" w:eastAsia="楷体_GB2312"/>
                <w:sz w:val="28"/>
                <w:szCs w:val="28"/>
              </w:rPr>
            </w:pPr>
          </w:p>
        </w:tc>
        <w:tc>
          <w:tcPr>
            <w:tcW w:w="1032" w:type="dxa"/>
            <w:vAlign w:val="center"/>
          </w:tcPr>
          <w:p>
            <w:pPr>
              <w:overflowPunct w:val="0"/>
              <w:snapToGrid w:val="0"/>
              <w:jc w:val="center"/>
              <w:rPr>
                <w:rFonts w:ascii="楷体_GB2312" w:eastAsia="楷体_GB2312"/>
                <w:sz w:val="28"/>
                <w:szCs w:val="28"/>
              </w:rPr>
            </w:pP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ascii="楷体_GB2312" w:eastAsia="楷体_GB2312"/>
                <w:sz w:val="28"/>
                <w:szCs w:val="28"/>
              </w:rPr>
              <w:t>14</w:t>
            </w:r>
          </w:p>
        </w:tc>
        <w:tc>
          <w:tcPr>
            <w:tcW w:w="709" w:type="dxa"/>
            <w:vMerge w:val="restart"/>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绿色</w:t>
            </w:r>
          </w:p>
          <w:p>
            <w:pPr>
              <w:overflowPunct w:val="0"/>
              <w:snapToGrid w:val="0"/>
              <w:jc w:val="center"/>
              <w:rPr>
                <w:rFonts w:ascii="楷体_GB2312" w:eastAsia="楷体_GB2312"/>
                <w:sz w:val="28"/>
                <w:szCs w:val="28"/>
              </w:rPr>
            </w:pPr>
            <w:r>
              <w:rPr>
                <w:rFonts w:hint="eastAsia" w:ascii="楷体_GB2312" w:eastAsia="楷体_GB2312"/>
                <w:sz w:val="28"/>
                <w:szCs w:val="28"/>
              </w:rPr>
              <w:t>发展</w:t>
            </w: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完好标准仓容（万吨）</w:t>
            </w:r>
          </w:p>
        </w:tc>
        <w:tc>
          <w:tcPr>
            <w:tcW w:w="1079" w:type="dxa"/>
            <w:vAlign w:val="center"/>
          </w:tcPr>
          <w:p>
            <w:pPr>
              <w:overflowPunct w:val="0"/>
              <w:snapToGrid w:val="0"/>
              <w:jc w:val="center"/>
              <w:rPr>
                <w:rFonts w:ascii="楷体_GB2312" w:eastAsia="楷体_GB2312"/>
                <w:sz w:val="28"/>
                <w:szCs w:val="28"/>
              </w:rPr>
            </w:pPr>
          </w:p>
        </w:tc>
        <w:tc>
          <w:tcPr>
            <w:tcW w:w="1032"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35</w:t>
            </w: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ascii="楷体_GB2312" w:eastAsia="楷体_GB2312"/>
                <w:sz w:val="28"/>
                <w:szCs w:val="28"/>
              </w:rPr>
              <w:t>15</w:t>
            </w:r>
          </w:p>
        </w:tc>
        <w:tc>
          <w:tcPr>
            <w:tcW w:w="709" w:type="dxa"/>
            <w:vMerge w:val="continue"/>
            <w:vAlign w:val="center"/>
          </w:tcPr>
          <w:p>
            <w:pPr>
              <w:overflowPunct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低温准低温仓容（万吨）</w:t>
            </w:r>
          </w:p>
        </w:tc>
        <w:tc>
          <w:tcPr>
            <w:tcW w:w="1079" w:type="dxa"/>
            <w:vAlign w:val="center"/>
          </w:tcPr>
          <w:p>
            <w:pPr>
              <w:overflowPunct w:val="0"/>
              <w:snapToGrid w:val="0"/>
              <w:jc w:val="center"/>
              <w:rPr>
                <w:rFonts w:ascii="楷体_GB2312" w:eastAsia="楷体_GB2312"/>
                <w:sz w:val="28"/>
                <w:szCs w:val="28"/>
              </w:rPr>
            </w:pPr>
          </w:p>
        </w:tc>
        <w:tc>
          <w:tcPr>
            <w:tcW w:w="1032" w:type="dxa"/>
            <w:vAlign w:val="center"/>
          </w:tcPr>
          <w:p>
            <w:pPr>
              <w:overflowPunct w:val="0"/>
              <w:snapToGrid w:val="0"/>
              <w:jc w:val="center"/>
              <w:rPr>
                <w:rFonts w:ascii="楷体_GB2312" w:eastAsia="楷体_GB2312"/>
                <w:sz w:val="28"/>
                <w:szCs w:val="28"/>
              </w:rPr>
            </w:pP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ascii="楷体_GB2312" w:eastAsia="楷体_GB2312"/>
                <w:sz w:val="28"/>
                <w:szCs w:val="28"/>
              </w:rPr>
              <w:t>16</w:t>
            </w:r>
          </w:p>
        </w:tc>
        <w:tc>
          <w:tcPr>
            <w:tcW w:w="709" w:type="dxa"/>
            <w:vMerge w:val="restart"/>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创新</w:t>
            </w:r>
          </w:p>
          <w:p>
            <w:pPr>
              <w:overflowPunct w:val="0"/>
              <w:autoSpaceDE w:val="0"/>
              <w:adjustRightInd w:val="0"/>
              <w:snapToGrid w:val="0"/>
              <w:jc w:val="center"/>
              <w:rPr>
                <w:rFonts w:ascii="楷体_GB2312" w:eastAsia="楷体_GB2312"/>
                <w:sz w:val="28"/>
                <w:szCs w:val="28"/>
              </w:rPr>
            </w:pPr>
            <w:bookmarkStart w:id="16" w:name="_Toc71192906"/>
            <w:r>
              <w:rPr>
                <w:rFonts w:hint="eastAsia" w:ascii="楷体_GB2312" w:eastAsia="楷体_GB2312"/>
                <w:sz w:val="28"/>
                <w:szCs w:val="28"/>
              </w:rPr>
              <w:t>发展</w:t>
            </w:r>
            <w:bookmarkEnd w:id="16"/>
          </w:p>
        </w:tc>
        <w:tc>
          <w:tcPr>
            <w:tcW w:w="4394" w:type="dxa"/>
            <w:vAlign w:val="center"/>
          </w:tcPr>
          <w:p>
            <w:pPr>
              <w:overflowPunct w:val="0"/>
              <w:snapToGrid w:val="0"/>
              <w:rPr>
                <w:rFonts w:ascii="楷体_GB2312" w:eastAsia="楷体_GB2312"/>
                <w:sz w:val="28"/>
                <w:szCs w:val="28"/>
              </w:rPr>
            </w:pPr>
            <w:r>
              <w:rPr>
                <w:rFonts w:hint="eastAsia" w:ascii="楷体_GB2312" w:eastAsia="楷体_GB2312"/>
                <w:sz w:val="28"/>
                <w:szCs w:val="28"/>
              </w:rPr>
              <w:t>粮食质量检测中心（个）</w:t>
            </w:r>
          </w:p>
        </w:tc>
        <w:tc>
          <w:tcPr>
            <w:tcW w:w="1079" w:type="dxa"/>
            <w:vAlign w:val="center"/>
          </w:tcPr>
          <w:p>
            <w:pPr>
              <w:overflowPunct w:val="0"/>
              <w:snapToGrid w:val="0"/>
              <w:jc w:val="center"/>
              <w:rPr>
                <w:rFonts w:ascii="楷体_GB2312" w:eastAsia="楷体_GB2312"/>
                <w:sz w:val="28"/>
                <w:szCs w:val="28"/>
              </w:rPr>
            </w:pPr>
          </w:p>
        </w:tc>
        <w:tc>
          <w:tcPr>
            <w:tcW w:w="1032" w:type="dxa"/>
            <w:vAlign w:val="center"/>
          </w:tcPr>
          <w:p>
            <w:pPr>
              <w:overflowPunct w:val="0"/>
              <w:snapToGrid w:val="0"/>
              <w:jc w:val="center"/>
              <w:rPr>
                <w:rFonts w:ascii="楷体_GB2312" w:eastAsia="楷体_GB2312"/>
                <w:sz w:val="28"/>
                <w:szCs w:val="28"/>
              </w:rPr>
            </w:pP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57" w:type="dxa"/>
            <w:bottom w:w="15" w:type="dxa"/>
            <w:right w:w="57" w:type="dxa"/>
          </w:tblCellMar>
        </w:tblPrEx>
        <w:trPr>
          <w:trHeight w:val="482" w:hRule="atLeast"/>
          <w:jc w:val="center"/>
        </w:trPr>
        <w:tc>
          <w:tcPr>
            <w:tcW w:w="699" w:type="dxa"/>
            <w:vAlign w:val="center"/>
          </w:tcPr>
          <w:p>
            <w:pPr>
              <w:overflowPunct w:val="0"/>
              <w:snapToGrid w:val="0"/>
              <w:jc w:val="center"/>
              <w:rPr>
                <w:rFonts w:ascii="楷体_GB2312" w:eastAsia="楷体_GB2312"/>
                <w:sz w:val="28"/>
                <w:szCs w:val="28"/>
              </w:rPr>
            </w:pPr>
            <w:r>
              <w:rPr>
                <w:rFonts w:ascii="楷体_GB2312" w:eastAsia="楷体_GB2312"/>
                <w:sz w:val="28"/>
                <w:szCs w:val="28"/>
              </w:rPr>
              <w:t>17</w:t>
            </w:r>
          </w:p>
        </w:tc>
        <w:tc>
          <w:tcPr>
            <w:tcW w:w="709" w:type="dxa"/>
            <w:vMerge w:val="continue"/>
            <w:vAlign w:val="center"/>
          </w:tcPr>
          <w:p>
            <w:pPr>
              <w:overflowPunct w:val="0"/>
              <w:autoSpaceDE w:val="0"/>
              <w:adjustRightInd w:val="0"/>
              <w:snapToGrid w:val="0"/>
              <w:jc w:val="center"/>
              <w:rPr>
                <w:rFonts w:ascii="楷体_GB2312" w:eastAsia="楷体_GB2312"/>
                <w:sz w:val="28"/>
                <w:szCs w:val="28"/>
              </w:rPr>
            </w:pPr>
          </w:p>
        </w:tc>
        <w:tc>
          <w:tcPr>
            <w:tcW w:w="4394" w:type="dxa"/>
            <w:vAlign w:val="center"/>
          </w:tcPr>
          <w:p>
            <w:pPr>
              <w:overflowPunct w:val="0"/>
              <w:snapToGrid w:val="0"/>
              <w:rPr>
                <w:rFonts w:ascii="楷体_GB2312" w:eastAsia="楷体_GB2312"/>
                <w:sz w:val="28"/>
                <w:szCs w:val="28"/>
              </w:rPr>
            </w:pPr>
            <w:r>
              <w:rPr>
                <w:rFonts w:ascii="楷体_GB2312" w:eastAsia="楷体_GB2312"/>
                <w:sz w:val="28"/>
                <w:szCs w:val="28"/>
              </w:rPr>
              <w:t>智能化仓储技术应用比例（%）</w:t>
            </w:r>
          </w:p>
        </w:tc>
        <w:tc>
          <w:tcPr>
            <w:tcW w:w="1079" w:type="dxa"/>
            <w:vAlign w:val="center"/>
          </w:tcPr>
          <w:p>
            <w:pPr>
              <w:overflowPunct w:val="0"/>
              <w:snapToGrid w:val="0"/>
              <w:jc w:val="center"/>
              <w:rPr>
                <w:rFonts w:ascii="楷体_GB2312" w:eastAsia="楷体_GB2312"/>
                <w:sz w:val="28"/>
                <w:szCs w:val="28"/>
              </w:rPr>
            </w:pPr>
          </w:p>
        </w:tc>
        <w:tc>
          <w:tcPr>
            <w:tcW w:w="1032" w:type="dxa"/>
            <w:vAlign w:val="center"/>
          </w:tcPr>
          <w:p>
            <w:pPr>
              <w:overflowPunct w:val="0"/>
              <w:snapToGrid w:val="0"/>
              <w:jc w:val="center"/>
              <w:rPr>
                <w:rFonts w:ascii="楷体_GB2312" w:eastAsia="楷体_GB2312"/>
                <w:sz w:val="28"/>
                <w:szCs w:val="28"/>
              </w:rPr>
            </w:pPr>
          </w:p>
        </w:tc>
        <w:tc>
          <w:tcPr>
            <w:tcW w:w="1008" w:type="dxa"/>
            <w:vAlign w:val="center"/>
          </w:tcPr>
          <w:p>
            <w:pPr>
              <w:overflowPunct w:val="0"/>
              <w:snapToGrid w:val="0"/>
              <w:jc w:val="center"/>
              <w:rPr>
                <w:rFonts w:ascii="楷体_GB2312" w:eastAsia="楷体_GB2312"/>
                <w:sz w:val="28"/>
                <w:szCs w:val="28"/>
              </w:rPr>
            </w:pPr>
            <w:r>
              <w:rPr>
                <w:rFonts w:hint="eastAsia" w:ascii="楷体_GB2312" w:eastAsia="楷体_GB2312"/>
                <w:sz w:val="28"/>
                <w:szCs w:val="28"/>
              </w:rPr>
              <w:t>预期性</w:t>
            </w:r>
          </w:p>
        </w:tc>
      </w:tr>
    </w:tbl>
    <w:p>
      <w:pPr>
        <w:rPr>
          <w:rFonts w:ascii="仿宋_GB2312" w:eastAsia="仿宋_GB2312"/>
          <w:b/>
          <w:sz w:val="36"/>
          <w:szCs w:val="20"/>
        </w:rPr>
      </w:pPr>
      <w:r>
        <w:rPr>
          <w:rFonts w:ascii="仿宋_GB2312" w:eastAsia="仿宋_GB2312"/>
          <w:b/>
          <w:sz w:val="36"/>
          <w:szCs w:val="20"/>
        </w:rPr>
        <w:br w:type="page"/>
      </w:r>
    </w:p>
    <w:p>
      <w:pPr>
        <w:snapToGrid w:val="0"/>
        <w:spacing w:before="312" w:beforeLines="100" w:after="312" w:afterLines="100" w:line="360" w:lineRule="auto"/>
        <w:jc w:val="center"/>
        <w:outlineLvl w:val="0"/>
        <w:rPr>
          <w:rFonts w:ascii="仿宋_GB2312" w:eastAsia="仿宋_GB2312"/>
          <w:b/>
          <w:sz w:val="36"/>
          <w:szCs w:val="20"/>
        </w:rPr>
      </w:pPr>
      <w:bookmarkStart w:id="17" w:name="_Toc90880546"/>
      <w:r>
        <w:rPr>
          <w:rFonts w:hint="eastAsia" w:ascii="仿宋_GB2312" w:eastAsia="仿宋_GB2312"/>
          <w:b/>
          <w:sz w:val="36"/>
          <w:szCs w:val="20"/>
        </w:rPr>
        <w:t>第四章 加强粮食宏观调控</w:t>
      </w:r>
      <w:bookmarkEnd w:id="17"/>
    </w:p>
    <w:p>
      <w:pPr>
        <w:outlineLvl w:val="1"/>
        <w:rPr>
          <w:rFonts w:ascii="仿宋_GB2312" w:eastAsia="仿宋_GB2312"/>
          <w:b/>
          <w:sz w:val="32"/>
        </w:rPr>
      </w:pPr>
      <w:bookmarkStart w:id="18" w:name="_Toc90880547"/>
      <w:r>
        <w:rPr>
          <w:rFonts w:hint="eastAsia" w:ascii="仿宋_GB2312" w:eastAsia="仿宋_GB2312"/>
          <w:b/>
          <w:sz w:val="32"/>
        </w:rPr>
        <w:t>一</w:t>
      </w:r>
      <w:r>
        <w:rPr>
          <w:rFonts w:ascii="仿宋_GB2312" w:eastAsia="仿宋_GB2312"/>
          <w:b/>
          <w:sz w:val="32"/>
        </w:rPr>
        <w:t>、落实国家收购政策</w:t>
      </w:r>
      <w:bookmarkEnd w:id="18"/>
    </w:p>
    <w:p>
      <w:pPr>
        <w:ind w:firstLine="640" w:firstLineChars="200"/>
        <w:rPr>
          <w:rFonts w:ascii="仿宋_GB2312" w:eastAsia="仿宋_GB2312"/>
          <w:sz w:val="32"/>
        </w:rPr>
      </w:pPr>
      <w:r>
        <w:rPr>
          <w:rFonts w:hint="eastAsia" w:ascii="仿宋_GB2312" w:eastAsia="仿宋_GB2312"/>
          <w:sz w:val="32"/>
        </w:rPr>
        <w:t>认真落实粮食安全行政首长责任制，牢牢把握粮食宏观调控主线，着力构建市场调节、政府主导、反应灵活、运转高效、保障有力的粮食宏观调控体系。深化粮食收储制度改革，进一步完善粮食收储体系。发挥政策性收购“守底线、稳预期”作用，国有企业、骨干企业要充分发挥引领带动作用，落实粮食最低收购价政策，扎实抓好托市收购，配合做好早籼稻、中晚稻最低收购价执行预案，牢牢守住农民“种粮卖得出”的底线，保护种粮农民积极性。</w:t>
      </w:r>
    </w:p>
    <w:p>
      <w:pPr>
        <w:ind w:firstLine="640" w:firstLineChars="200"/>
        <w:rPr>
          <w:rFonts w:ascii="仿宋_GB2312" w:eastAsia="仿宋_GB2312"/>
          <w:sz w:val="32"/>
        </w:rPr>
      </w:pPr>
      <w:r>
        <w:rPr>
          <w:rFonts w:hint="eastAsia" w:ascii="仿宋_GB2312" w:eastAsia="仿宋_GB2312"/>
          <w:sz w:val="32"/>
        </w:rPr>
        <w:t>完善订单粮食价格形成机制，加强政策性收购和市场化收购的协同联动，更好地发挥市场在粮食资源配置中的决定性作用，引导和鼓励多元主体建设优质粮源基地，开展订单收购，形成主体多元、渠道多样、优粮优价、竞争有序的市场化收购新格局。严格落实《粮食流通管理条例》《粮食质量安全监管办法》，完善超标粮食收购政策，对不符合食品安全指标的粮食实行定点收购、专仓储存、定向处置、闭环管理。</w:t>
      </w:r>
    </w:p>
    <w:p>
      <w:pPr>
        <w:ind w:firstLine="640" w:firstLineChars="200"/>
        <w:rPr>
          <w:rFonts w:ascii="仿宋_GB2312" w:eastAsia="仿宋_GB2312"/>
          <w:sz w:val="32"/>
        </w:rPr>
      </w:pPr>
    </w:p>
    <w:p>
      <w:pPr>
        <w:outlineLvl w:val="1"/>
        <w:rPr>
          <w:rFonts w:ascii="仿宋_GB2312" w:eastAsia="仿宋_GB2312"/>
          <w:b/>
          <w:sz w:val="32"/>
        </w:rPr>
      </w:pPr>
      <w:bookmarkStart w:id="19" w:name="_Toc90880548"/>
      <w:r>
        <w:rPr>
          <w:rFonts w:hint="eastAsia" w:ascii="仿宋_GB2312" w:eastAsia="仿宋_GB2312"/>
          <w:b/>
          <w:sz w:val="32"/>
        </w:rPr>
        <w:t>二</w:t>
      </w:r>
      <w:r>
        <w:rPr>
          <w:rFonts w:ascii="仿宋_GB2312" w:eastAsia="仿宋_GB2312"/>
          <w:b/>
          <w:sz w:val="32"/>
        </w:rPr>
        <w:t>、加强地方粮食储备</w:t>
      </w:r>
      <w:bookmarkEnd w:id="19"/>
    </w:p>
    <w:p>
      <w:pPr>
        <w:ind w:firstLine="640" w:firstLineChars="200"/>
        <w:rPr>
          <w:rFonts w:ascii="仿宋_GB2312" w:eastAsia="仿宋_GB2312"/>
          <w:sz w:val="32"/>
        </w:rPr>
      </w:pPr>
      <w:r>
        <w:rPr>
          <w:rFonts w:hint="eastAsia" w:ascii="仿宋_GB2312" w:eastAsia="仿宋_GB2312"/>
          <w:sz w:val="32"/>
        </w:rPr>
        <w:t>结合辖区内人口数量和消费需求的变化，按照产销平衡区</w:t>
      </w:r>
      <w:r>
        <w:rPr>
          <w:rFonts w:ascii="仿宋_GB2312" w:eastAsia="仿宋_GB2312"/>
          <w:sz w:val="32"/>
        </w:rPr>
        <w:t>4.5个月</w:t>
      </w:r>
      <w:r>
        <w:rPr>
          <w:rFonts w:hint="eastAsia" w:ascii="仿宋_GB2312" w:eastAsia="仿宋_GB2312"/>
          <w:sz w:val="32"/>
        </w:rPr>
        <w:t>的标准增加地方储备粮规模，健全政府储备规模动态调整机制，确保地方储备粮油计划足额落实到位，按要求适时充实食用油、成品粮及小包装粮油储备。按照“优储适需、储为所用”原则，优化储备品种结构和区域布局，</w:t>
      </w:r>
      <w:r>
        <w:rPr>
          <w:rFonts w:ascii="仿宋_GB2312" w:eastAsia="仿宋_GB2312"/>
          <w:sz w:val="32"/>
        </w:rPr>
        <w:t>适当增加玉米、大豆等品种储备，增强饲料和食用油原料保障能力。</w:t>
      </w:r>
    </w:p>
    <w:p>
      <w:pPr>
        <w:ind w:firstLine="640" w:firstLineChars="200"/>
        <w:rPr>
          <w:rFonts w:ascii="仿宋_GB2312" w:eastAsia="仿宋_GB2312"/>
          <w:sz w:val="32"/>
        </w:rPr>
      </w:pPr>
      <w:r>
        <w:rPr>
          <w:rFonts w:hint="eastAsia" w:ascii="仿宋_GB2312" w:eastAsia="仿宋_GB2312"/>
          <w:sz w:val="32"/>
        </w:rPr>
        <w:t>探索国家、自治区、市、县粮储</w:t>
      </w:r>
      <w:r>
        <w:rPr>
          <w:rFonts w:ascii="仿宋_GB2312" w:eastAsia="仿宋_GB2312"/>
          <w:sz w:val="32"/>
        </w:rPr>
        <w:t>合作协同机制，加强储备粮轮换吞吐协调联动</w:t>
      </w:r>
      <w:r>
        <w:rPr>
          <w:rFonts w:hint="eastAsia" w:ascii="仿宋_GB2312" w:eastAsia="仿宋_GB2312"/>
          <w:sz w:val="32"/>
        </w:rPr>
        <w:t>，</w:t>
      </w:r>
      <w:r>
        <w:rPr>
          <w:rFonts w:ascii="仿宋_GB2312" w:eastAsia="仿宋_GB2312"/>
          <w:sz w:val="32"/>
        </w:rPr>
        <w:t>积极争取扩大政策性粮食承储规模</w:t>
      </w:r>
      <w:r>
        <w:rPr>
          <w:rFonts w:hint="eastAsia" w:ascii="仿宋_GB2312" w:eastAsia="仿宋_GB2312"/>
          <w:sz w:val="32"/>
        </w:rPr>
        <w:t>，逐步构建储备方式多样化、储备主体多元化的粮食储备体系。引导粮食经营企业建立合理的商业库存，鼓励并支持涉粮企业、粮食生产合作组织等自主储粮，进一步增强粮食储备保障能力。</w:t>
      </w:r>
    </w:p>
    <w:p>
      <w:pPr>
        <w:ind w:firstLine="640" w:firstLineChars="200"/>
        <w:rPr>
          <w:rFonts w:ascii="仿宋_GB2312" w:eastAsia="仿宋_GB2312"/>
          <w:sz w:val="32"/>
        </w:rPr>
      </w:pPr>
    </w:p>
    <w:p>
      <w:pPr>
        <w:outlineLvl w:val="1"/>
        <w:rPr>
          <w:rFonts w:ascii="仿宋_GB2312" w:eastAsia="仿宋_GB2312"/>
          <w:b/>
          <w:sz w:val="32"/>
        </w:rPr>
      </w:pPr>
      <w:bookmarkStart w:id="20" w:name="_Toc90880549"/>
      <w:r>
        <w:rPr>
          <w:rFonts w:hint="eastAsia" w:ascii="仿宋_GB2312" w:eastAsia="仿宋_GB2312"/>
          <w:b/>
          <w:sz w:val="32"/>
        </w:rPr>
        <w:t>三</w:t>
      </w:r>
      <w:r>
        <w:rPr>
          <w:rFonts w:ascii="仿宋_GB2312" w:eastAsia="仿宋_GB2312"/>
          <w:b/>
          <w:sz w:val="32"/>
        </w:rPr>
        <w:t>、强化粮食应急保供</w:t>
      </w:r>
      <w:bookmarkEnd w:id="20"/>
    </w:p>
    <w:p>
      <w:pPr>
        <w:ind w:firstLine="640" w:firstLineChars="200"/>
        <w:rPr>
          <w:rFonts w:ascii="仿宋_GB2312" w:eastAsia="仿宋_GB2312"/>
          <w:sz w:val="32"/>
        </w:rPr>
      </w:pPr>
      <w:r>
        <w:rPr>
          <w:rFonts w:hint="eastAsia" w:ascii="仿宋_GB2312" w:eastAsia="仿宋_GB2312"/>
          <w:sz w:val="32"/>
        </w:rPr>
        <w:t>实施粮食应急保障能力提升行动，提升粮食应急加工、运输、配送能力，优化应急供应网点布局，形成布局合理、设施完备、运转高效、保障有力的粮食应急供应保障体系，不断提升区域粮食安全保障能力。着力推进粮食应急保障工程，完善成品粮油应急加工和供应网络，有效统筹现有应急设施资源，改造建设一批平时服务、急时应急的粮食应急保障中心，构建布局合理、设施完备、运转高效、保障有力的粮食应急供应保障体系。</w:t>
      </w:r>
    </w:p>
    <w:p>
      <w:pPr>
        <w:ind w:firstLine="640" w:firstLineChars="200"/>
        <w:rPr>
          <w:rFonts w:ascii="仿宋_GB2312" w:eastAsia="仿宋_GB2312"/>
          <w:sz w:val="32"/>
        </w:rPr>
      </w:pPr>
      <w:r>
        <w:rPr>
          <w:rFonts w:hint="eastAsia" w:ascii="仿宋_GB2312" w:eastAsia="仿宋_GB2312"/>
          <w:sz w:val="32"/>
        </w:rPr>
        <w:t>构建粮食安全监测预警体系，健全涵盖粮食生产、流通、储备和消费等各个环节的统计制度。优化粮食应急预案和保供稳市方案，加强应急演练和培训。择优选择粮食加工、超市等相关企业承担粮油应急保供任务，确保严重自然灾害或紧急状态时的粮食供应。</w:t>
      </w:r>
    </w:p>
    <w:p>
      <w:pPr>
        <w:ind w:firstLine="640" w:firstLineChars="200"/>
        <w:rPr>
          <w:rFonts w:ascii="仿宋_GB2312" w:eastAsia="仿宋_GB2312"/>
          <w:sz w:val="32"/>
        </w:rPr>
      </w:pPr>
    </w:p>
    <w:p>
      <w:pPr>
        <w:outlineLvl w:val="1"/>
        <w:rPr>
          <w:rFonts w:ascii="仿宋_GB2312" w:eastAsia="仿宋_GB2312"/>
          <w:b/>
          <w:sz w:val="32"/>
        </w:rPr>
      </w:pPr>
      <w:bookmarkStart w:id="21" w:name="_Toc90880550"/>
      <w:r>
        <w:rPr>
          <w:rFonts w:hint="eastAsia" w:ascii="仿宋_GB2312" w:eastAsia="仿宋_GB2312"/>
          <w:b/>
          <w:sz w:val="32"/>
        </w:rPr>
        <w:t>四</w:t>
      </w:r>
      <w:r>
        <w:rPr>
          <w:rFonts w:ascii="仿宋_GB2312" w:eastAsia="仿宋_GB2312"/>
          <w:b/>
          <w:sz w:val="32"/>
        </w:rPr>
        <w:t>、做好</w:t>
      </w:r>
      <w:r>
        <w:rPr>
          <w:rFonts w:hint="eastAsia" w:ascii="仿宋_GB2312" w:eastAsia="仿宋_GB2312"/>
          <w:b/>
          <w:sz w:val="32"/>
        </w:rPr>
        <w:t>粮食</w:t>
      </w:r>
      <w:r>
        <w:rPr>
          <w:rFonts w:ascii="仿宋_GB2312" w:eastAsia="仿宋_GB2312"/>
          <w:b/>
          <w:sz w:val="32"/>
        </w:rPr>
        <w:t>价格监测</w:t>
      </w:r>
      <w:bookmarkEnd w:id="21"/>
    </w:p>
    <w:p>
      <w:pPr>
        <w:ind w:firstLine="640" w:firstLineChars="200"/>
        <w:rPr>
          <w:rFonts w:ascii="仿宋_GB2312" w:eastAsia="仿宋_GB2312"/>
          <w:sz w:val="32"/>
        </w:rPr>
      </w:pPr>
      <w:r>
        <w:rPr>
          <w:rFonts w:hint="eastAsia" w:ascii="仿宋_GB2312" w:eastAsia="仿宋_GB2312"/>
          <w:sz w:val="32"/>
        </w:rPr>
        <w:t>健全价格监测和预警体系，加强粮食价格及市场动态的实时监测和预警分析，</w:t>
      </w:r>
      <w:r>
        <w:rPr>
          <w:rFonts w:ascii="仿宋_GB2312" w:eastAsia="仿宋_GB2312"/>
          <w:sz w:val="32"/>
        </w:rPr>
        <w:t>密切关注</w:t>
      </w:r>
      <w:r>
        <w:rPr>
          <w:rFonts w:hint="eastAsia" w:ascii="仿宋_GB2312" w:eastAsia="仿宋_GB2312"/>
          <w:sz w:val="32"/>
        </w:rPr>
        <w:t>粮油库存、加工、供应及市场价格变动情况，及时发布粮食生产、消费、价格、质量等信息。根据实际情况做好粮食应急预案</w:t>
      </w:r>
      <w:r>
        <w:rPr>
          <w:rFonts w:ascii="仿宋_GB2312" w:eastAsia="仿宋_GB2312"/>
          <w:sz w:val="32"/>
        </w:rPr>
        <w:t>，</w:t>
      </w:r>
      <w:r>
        <w:rPr>
          <w:rFonts w:hint="eastAsia" w:ascii="仿宋_GB2312" w:eastAsia="仿宋_GB2312"/>
          <w:sz w:val="32"/>
        </w:rPr>
        <w:t>全面提升调控市场、稳定价格、应对突发事件的能力。</w:t>
      </w:r>
    </w:p>
    <w:p>
      <w:pPr>
        <w:ind w:firstLine="640" w:firstLineChars="200"/>
        <w:rPr>
          <w:rFonts w:ascii="仿宋_GB2312" w:eastAsia="仿宋_GB2312"/>
          <w:sz w:val="32"/>
        </w:rPr>
      </w:pPr>
      <w:r>
        <w:rPr>
          <w:rFonts w:hint="eastAsia" w:ascii="仿宋_GB2312" w:eastAsia="仿宋_GB2312"/>
          <w:sz w:val="32"/>
        </w:rPr>
        <w:t>强化对重点粮油</w:t>
      </w:r>
      <w:r>
        <w:rPr>
          <w:rFonts w:ascii="仿宋_GB2312" w:eastAsia="仿宋_GB2312"/>
          <w:sz w:val="32"/>
        </w:rPr>
        <w:t>品种以及重点批发市场、加工企业、零售企业的主要品种、品牌的价格、库存、供应数量</w:t>
      </w:r>
      <w:r>
        <w:rPr>
          <w:rFonts w:hint="eastAsia" w:ascii="仿宋_GB2312" w:eastAsia="仿宋_GB2312"/>
          <w:sz w:val="32"/>
        </w:rPr>
        <w:t>的</w:t>
      </w:r>
      <w:r>
        <w:rPr>
          <w:rFonts w:ascii="仿宋_GB2312" w:eastAsia="仿宋_GB2312"/>
          <w:sz w:val="32"/>
        </w:rPr>
        <w:t>监测，及时掌握主要粮油商品生产加工和供应等情况</w:t>
      </w:r>
      <w:r>
        <w:rPr>
          <w:rFonts w:hint="eastAsia" w:ascii="仿宋_GB2312" w:eastAsia="仿宋_GB2312"/>
          <w:sz w:val="32"/>
        </w:rPr>
        <w:t>。加大对粮食市场监督检查力度，严厉打击囤积居奇、哄抬价格、假冒伪劣等违法行为，维护粮油市场正常秩序。积极引导</w:t>
      </w:r>
      <w:r>
        <w:rPr>
          <w:rFonts w:ascii="仿宋_GB2312" w:eastAsia="仿宋_GB2312"/>
          <w:sz w:val="32"/>
        </w:rPr>
        <w:t>放心粮油供应点和应急供应网点守法诚信经营，维护市场稳定。</w:t>
      </w:r>
    </w:p>
    <w:p>
      <w:pPr>
        <w:ind w:firstLine="640" w:firstLineChars="200"/>
        <w:rPr>
          <w:rFonts w:ascii="仿宋_GB2312" w:eastAsia="仿宋_GB2312"/>
          <w:sz w:val="32"/>
        </w:rPr>
      </w:pPr>
    </w:p>
    <w:p>
      <w:pPr>
        <w:outlineLvl w:val="1"/>
        <w:rPr>
          <w:rFonts w:ascii="仿宋_GB2312" w:eastAsia="仿宋_GB2312"/>
          <w:b/>
          <w:sz w:val="32"/>
        </w:rPr>
      </w:pPr>
      <w:bookmarkStart w:id="22" w:name="_Toc90880551"/>
      <w:r>
        <w:rPr>
          <w:rFonts w:hint="eastAsia" w:ascii="仿宋_GB2312" w:eastAsia="仿宋_GB2312"/>
          <w:b/>
          <w:sz w:val="32"/>
        </w:rPr>
        <w:t>五</w:t>
      </w:r>
      <w:r>
        <w:rPr>
          <w:rFonts w:ascii="仿宋_GB2312" w:eastAsia="仿宋_GB2312"/>
          <w:b/>
          <w:sz w:val="32"/>
        </w:rPr>
        <w:t>、</w:t>
      </w:r>
      <w:r>
        <w:rPr>
          <w:rFonts w:hint="eastAsia" w:ascii="仿宋_GB2312" w:eastAsia="仿宋_GB2312"/>
          <w:b/>
          <w:sz w:val="32"/>
        </w:rPr>
        <w:t>健全粮食市场体系</w:t>
      </w:r>
      <w:bookmarkEnd w:id="22"/>
    </w:p>
    <w:p>
      <w:pPr>
        <w:ind w:firstLine="640" w:firstLineChars="200"/>
        <w:rPr>
          <w:rFonts w:ascii="仿宋_GB2312" w:eastAsia="仿宋_GB2312"/>
          <w:sz w:val="32"/>
        </w:rPr>
      </w:pPr>
      <w:r>
        <w:rPr>
          <w:rFonts w:hint="eastAsia" w:ascii="仿宋_GB2312" w:eastAsia="仿宋_GB2312"/>
          <w:sz w:val="32"/>
        </w:rPr>
        <w:t>积极构建多元市场主体格局，鼓励多种所有制市场主体从事粮食收购、销售、储存、运输、加工、进出口等经营活动，加快形成统一开放、竞争有序的现代粮食市场体系</w:t>
      </w:r>
      <w:r>
        <w:rPr>
          <w:rFonts w:ascii="仿宋_GB2312" w:eastAsia="仿宋_GB2312"/>
          <w:sz w:val="32"/>
        </w:rPr>
        <w:t>。</w:t>
      </w:r>
      <w:r>
        <w:rPr>
          <w:rFonts w:hint="eastAsia" w:ascii="仿宋_GB2312" w:eastAsia="仿宋_GB2312"/>
          <w:sz w:val="32"/>
        </w:rPr>
        <w:t>健全完善优粮优价的市场运行机制，各类粮食经营者公平竞争，推动粮食储备逐渐从“藏粮于库”向“藏粮于市”转型，实现更高层次粮食供需动态平衡。持续推进粮食收储市场化改革，鼓励多元市场主体积极入市收购，搞好搞活粮食市场流通。推进粮食宏观调控逐步由直接调控转向以政策引导为主的间接调控，加强各级地方政府、各类具有粮储功能的企业之间的统筹协调，组织实施好储备粮购销轮换计划，确保区域粮食市场平稳运行。深化国有粮食企业改革，支持民营和中小粮食企业发展壮大，激发种粮农户、其他粮食生产者，以及粮食经纪人、农民专业合作社等各类粮食市场主体活力。</w:t>
      </w:r>
    </w:p>
    <w:p>
      <w:pPr>
        <w:ind w:firstLine="640" w:firstLineChars="200"/>
        <w:rPr>
          <w:rFonts w:ascii="仿宋_GB2312" w:eastAsia="仿宋_GB2312"/>
          <w:sz w:val="32"/>
        </w:rPr>
      </w:pPr>
      <w:r>
        <w:rPr>
          <w:rFonts w:hint="eastAsia" w:ascii="仿宋_GB2312" w:eastAsia="仿宋_GB2312"/>
          <w:sz w:val="32"/>
        </w:rPr>
        <w:t>进一步深化粮食产销合作，积极搭建粮食产销合作平台，发挥粮食交易平台作用，支持成品粮批发市场和零售终端建设，构建区域小循环、国内大循环的粮食供销格局，实现巩固内循环、促进外循环的双循环激励。鼓励粮食企业参加全国和地方粮食交易大会和一些区域性粮食展洽活动，降低交易成本，提供市场运作效率。探索与区内外粮食产区签订政府间合作协议，通过合作收购、代收代储、租库收购、建立基地等形式，与临近的区内、区外稻谷主产区建立稳定的粮食购销渠道，不断提高产销合作组织化程度。</w:t>
      </w:r>
    </w:p>
    <w:p>
      <w:pPr>
        <w:ind w:firstLine="640" w:firstLineChars="200"/>
        <w:rPr>
          <w:rFonts w:ascii="仿宋_GB2312" w:eastAsia="仿宋_GB2312"/>
          <w:sz w:val="32"/>
        </w:rPr>
      </w:pPr>
      <w:r>
        <w:rPr>
          <w:rFonts w:hint="eastAsia" w:ascii="仿宋_GB2312" w:eastAsia="仿宋_GB2312"/>
          <w:sz w:val="32"/>
        </w:rPr>
        <w:t>完善粮食电子交易平台体系，健全多元化多层次、布局合理的粮油交易市场网络，探索建立桂林市区域特色品种粮食交易平台，建设粮食电商平台，服务新型经营主体与大型加工用粮企业。把握桂林市粮食产销平衡区的定位，完善粮油产品“地产地销”模式，积极发展粮超对接、粮批对接、粮校对接等直采直供模式，加快“放心粮油”和“主食厨房”建设，畅通粮油产品供应“最后一公里”。</w:t>
      </w:r>
    </w:p>
    <w:p>
      <w:pPr>
        <w:rPr>
          <w:rFonts w:ascii="仿宋_GB2312" w:eastAsia="仿宋_GB2312"/>
          <w:b/>
          <w:sz w:val="36"/>
          <w:szCs w:val="20"/>
        </w:rPr>
      </w:pPr>
      <w:r>
        <w:rPr>
          <w:rFonts w:ascii="仿宋_GB2312" w:eastAsia="仿宋_GB2312"/>
          <w:b/>
          <w:sz w:val="36"/>
          <w:szCs w:val="20"/>
        </w:rPr>
        <w:br w:type="page"/>
      </w:r>
    </w:p>
    <w:p>
      <w:pPr>
        <w:snapToGrid w:val="0"/>
        <w:spacing w:before="312" w:beforeLines="100" w:after="312" w:afterLines="100" w:line="360" w:lineRule="auto"/>
        <w:jc w:val="center"/>
        <w:outlineLvl w:val="0"/>
        <w:rPr>
          <w:rFonts w:ascii="仿宋_GB2312" w:eastAsia="仿宋_GB2312"/>
          <w:b/>
          <w:sz w:val="36"/>
          <w:szCs w:val="20"/>
        </w:rPr>
      </w:pPr>
      <w:bookmarkStart w:id="23" w:name="_Toc90880552"/>
      <w:r>
        <w:rPr>
          <w:rFonts w:hint="eastAsia" w:ascii="仿宋_GB2312" w:eastAsia="仿宋_GB2312"/>
          <w:b/>
          <w:sz w:val="36"/>
          <w:szCs w:val="20"/>
        </w:rPr>
        <w:t>第五章 发展粮食产业经济</w:t>
      </w:r>
      <w:bookmarkEnd w:id="23"/>
    </w:p>
    <w:p>
      <w:pPr>
        <w:outlineLvl w:val="1"/>
        <w:rPr>
          <w:rFonts w:ascii="仿宋_GB2312" w:eastAsia="仿宋_GB2312"/>
          <w:b/>
          <w:sz w:val="32"/>
        </w:rPr>
      </w:pPr>
      <w:bookmarkStart w:id="24" w:name="_Toc90880553"/>
      <w:r>
        <w:rPr>
          <w:rFonts w:hint="eastAsia" w:ascii="仿宋_GB2312" w:eastAsia="仿宋_GB2312"/>
          <w:b/>
          <w:sz w:val="32"/>
        </w:rPr>
        <w:t>一</w:t>
      </w:r>
      <w:r>
        <w:rPr>
          <w:rFonts w:ascii="仿宋_GB2312" w:eastAsia="仿宋_GB2312"/>
          <w:b/>
          <w:sz w:val="32"/>
        </w:rPr>
        <w:t>、粮食产品供给优化</w:t>
      </w:r>
      <w:bookmarkEnd w:id="24"/>
    </w:p>
    <w:p>
      <w:pPr>
        <w:ind w:firstLine="640" w:firstLineChars="200"/>
        <w:rPr>
          <w:rFonts w:ascii="仿宋_GB2312" w:eastAsia="仿宋_GB2312"/>
          <w:sz w:val="32"/>
        </w:rPr>
      </w:pPr>
      <w:r>
        <w:rPr>
          <w:rFonts w:hint="eastAsia" w:ascii="仿宋_GB2312" w:eastAsia="仿宋_GB2312"/>
          <w:sz w:val="32"/>
        </w:rPr>
        <w:t>贯彻新发展理念，着力推进粮食产业高质量发展，加快建设为粮食安全保障提供更加坚实基础的现代化粮食产业体系。抓好“粮头食尾”和“农头工尾”，加快延伸产业链、提升价值链、打造供应链，持续完善“产购储加销”全产业链发展模式，推进优粮优产、优粮优购、优粮优储、优粮优加、优粮优销“五优联动”全覆盖，提高绿色、优质粮食产品供给能力，加快形成农民耕地种好粮、收储企业收好粮、加工企业供好粮、人民群众吃好粮的粮食产业新格局。</w:t>
      </w:r>
    </w:p>
    <w:p>
      <w:pPr>
        <w:ind w:firstLine="640" w:firstLineChars="200"/>
        <w:rPr>
          <w:rFonts w:ascii="仿宋_GB2312" w:eastAsia="仿宋_GB2312"/>
          <w:sz w:val="32"/>
        </w:rPr>
      </w:pPr>
      <w:r>
        <w:rPr>
          <w:rFonts w:hint="eastAsia" w:ascii="仿宋_GB2312" w:eastAsia="仿宋_GB2312"/>
          <w:sz w:val="32"/>
        </w:rPr>
        <w:t>持续放大优质粮食工程项目建设成效，强化典型示范引领，推动粮源基地化、加工规模化、产品优质化、服务多样化，提升粮食行业竞争力。坚持储优适需、储为所用、分类收储原则，以市场需求为导向，引导粮食企业增加优质品种收储比例，大力推广分品种分仓收储、信用订单等先进经验，建立优质优价的粮食生产、分类收储和交易机制。促进粮食种植结构优化，推动种粮农民对接市场，建设标准化生产、产业化经营、全程质量控制的优质粮食生产基地，促进优质品种规模种植、标准化生产、专仓收储，帮助农民规避风险、提高收益，在更高层次上实现粮食供需动态平衡。进一步发展“公司</w:t>
      </w:r>
      <w:r>
        <w:rPr>
          <w:rFonts w:ascii="仿宋_GB2312" w:eastAsia="仿宋_GB2312"/>
          <w:sz w:val="32"/>
        </w:rPr>
        <w:t>+基地</w:t>
      </w:r>
      <w:r>
        <w:rPr>
          <w:rFonts w:hint="eastAsia" w:ascii="仿宋_GB2312" w:eastAsia="仿宋_GB2312"/>
          <w:sz w:val="32"/>
        </w:rPr>
        <w:t>+合作社</w:t>
      </w:r>
      <w:r>
        <w:rPr>
          <w:rFonts w:ascii="仿宋_GB2312" w:eastAsia="仿宋_GB2312"/>
          <w:sz w:val="32"/>
        </w:rPr>
        <w:t>+农户”经营模式，</w:t>
      </w:r>
      <w:r>
        <w:rPr>
          <w:rFonts w:hint="eastAsia" w:ascii="仿宋_GB2312" w:eastAsia="仿宋_GB2312"/>
          <w:sz w:val="32"/>
        </w:rPr>
        <w:t>加快家庭农场、农民合作社、农业社会化服务组织等各类新型农业经营主体和服务主体发展步伐</w:t>
      </w:r>
      <w:r>
        <w:rPr>
          <w:rFonts w:ascii="仿宋_GB2312" w:eastAsia="仿宋_GB2312"/>
          <w:sz w:val="32"/>
        </w:rPr>
        <w:t>，</w:t>
      </w:r>
      <w:r>
        <w:rPr>
          <w:rFonts w:hint="eastAsia" w:ascii="仿宋_GB2312" w:eastAsia="仿宋_GB2312"/>
          <w:sz w:val="32"/>
        </w:rPr>
        <w:t>形成新型农业经营主体和服务主体、种粮大户、小农户之间紧密的利益联结机制，</w:t>
      </w:r>
      <w:r>
        <w:rPr>
          <w:rFonts w:ascii="仿宋_GB2312" w:eastAsia="仿宋_GB2312"/>
          <w:sz w:val="32"/>
        </w:rPr>
        <w:t>通过订单收购、合作联营、产销衔接等方式，建立长期稳定的购销合作关系，提升粮食保障能力。</w:t>
      </w:r>
    </w:p>
    <w:p>
      <w:pPr>
        <w:ind w:firstLine="640" w:firstLineChars="200"/>
        <w:rPr>
          <w:rFonts w:ascii="仿宋_GB2312" w:eastAsia="仿宋_GB2312"/>
          <w:sz w:val="32"/>
        </w:rPr>
      </w:pPr>
    </w:p>
    <w:p>
      <w:pPr>
        <w:outlineLvl w:val="1"/>
        <w:rPr>
          <w:rFonts w:ascii="仿宋_GB2312" w:eastAsia="仿宋_GB2312"/>
          <w:b/>
          <w:sz w:val="32"/>
        </w:rPr>
      </w:pPr>
      <w:bookmarkStart w:id="25" w:name="_Toc90880554"/>
      <w:r>
        <w:rPr>
          <w:rFonts w:hint="eastAsia" w:ascii="仿宋_GB2312" w:eastAsia="仿宋_GB2312"/>
          <w:b/>
          <w:sz w:val="32"/>
        </w:rPr>
        <w:t>二</w:t>
      </w:r>
      <w:r>
        <w:rPr>
          <w:rFonts w:ascii="仿宋_GB2312" w:eastAsia="仿宋_GB2312"/>
          <w:b/>
          <w:sz w:val="32"/>
        </w:rPr>
        <w:t>、粮食企业培育壮大</w:t>
      </w:r>
      <w:bookmarkEnd w:id="25"/>
    </w:p>
    <w:p>
      <w:pPr>
        <w:ind w:firstLine="640" w:firstLineChars="200"/>
        <w:rPr>
          <w:rFonts w:ascii="仿宋" w:hAnsi="仿宋" w:eastAsia="仿宋" w:cs="Calibri"/>
          <w:sz w:val="32"/>
          <w:szCs w:val="32"/>
        </w:rPr>
      </w:pPr>
      <w:r>
        <w:rPr>
          <w:rFonts w:hint="eastAsia" w:ascii="仿宋_GB2312" w:eastAsia="仿宋_GB2312"/>
          <w:sz w:val="32"/>
        </w:rPr>
        <w:t>促进扶持粮食企业发展，鼓励和支持企业延长产业链，在粮食生产、加工、流通等行业培育一批具有行业竞争力和带动力的粮食骨干企业，涌现更多的粮食产业化龙头企业。</w:t>
      </w:r>
      <w:r>
        <w:rPr>
          <w:rFonts w:hint="eastAsia" w:ascii="仿宋" w:hAnsi="仿宋" w:eastAsia="仿宋" w:cs="Calibri"/>
          <w:sz w:val="32"/>
          <w:szCs w:val="32"/>
        </w:rPr>
        <w:t>对包括力源粮油食品有限公司、</w:t>
      </w:r>
      <w:r>
        <w:rPr>
          <w:rFonts w:ascii="仿宋" w:hAnsi="仿宋" w:eastAsia="仿宋" w:cs="Calibri"/>
          <w:sz w:val="32"/>
          <w:szCs w:val="32"/>
        </w:rPr>
        <w:t>桂林绿苑米业有限公司、金土地粮油食品有限公司、永福福寿米业有限公司</w:t>
      </w:r>
      <w:r>
        <w:rPr>
          <w:rFonts w:hint="eastAsia" w:ascii="仿宋" w:hAnsi="仿宋" w:eastAsia="仿宋" w:cs="Calibri"/>
          <w:sz w:val="32"/>
          <w:szCs w:val="32"/>
        </w:rPr>
        <w:t>等国家级、</w:t>
      </w:r>
      <w:r>
        <w:rPr>
          <w:rFonts w:ascii="仿宋" w:hAnsi="仿宋" w:eastAsia="仿宋" w:cs="Calibri"/>
          <w:sz w:val="32"/>
          <w:szCs w:val="32"/>
        </w:rPr>
        <w:t>自治区级农业产业化龙头企业</w:t>
      </w:r>
      <w:r>
        <w:rPr>
          <w:rFonts w:hint="eastAsia" w:ascii="仿宋" w:hAnsi="仿宋" w:eastAsia="仿宋" w:cs="Calibri"/>
          <w:sz w:val="32"/>
          <w:szCs w:val="32"/>
        </w:rPr>
        <w:t>在内的重点企业给予重点培育、重点扶持，突出地域优势和特色粮油培育发展，培育形成数家辐射带动力强、发展前景好、具有竞争优势的大型粮油企业，重点培植</w:t>
      </w:r>
      <w:r>
        <w:rPr>
          <w:rFonts w:ascii="仿宋" w:hAnsi="仿宋" w:eastAsia="仿宋" w:cs="Calibri"/>
          <w:sz w:val="32"/>
          <w:szCs w:val="32"/>
        </w:rPr>
        <w:t>2-3个含粮食种植、购销、仓储、物流、加工、销售全产业链运行的产业化示范企业。</w:t>
      </w:r>
    </w:p>
    <w:p>
      <w:pPr>
        <w:ind w:firstLine="640" w:firstLineChars="200"/>
        <w:rPr>
          <w:rFonts w:ascii="仿宋_GB2312" w:eastAsia="仿宋_GB2312"/>
          <w:sz w:val="32"/>
        </w:rPr>
      </w:pPr>
      <w:r>
        <w:rPr>
          <w:rFonts w:hint="eastAsia" w:ascii="仿宋_GB2312" w:eastAsia="仿宋_GB2312"/>
          <w:sz w:val="32"/>
        </w:rPr>
        <w:t>鼓励骨干企业与产业链上下游各类市场主体结成产业联盟，形成一批上下游发展关联性、互补性强的粮油集群产业。坚持市场主导与政府推动、分类指导与重点扶持、整合资源与优化机制相结合，积极推动相关政策措施的落地，在粮食购销、技术改造、品牌创建等方面给予粮食企业支持。积极组织粮食骨干企业全面参与实施“五优联动”，促进产销两端有效对接，形成桂林市粮食产业高质量发展品牌效应。依托粮食骨干企业，充分发挥粮食加工转化的引擎作用，构建骨干企业带动、中小企业分工协同、多种新型经营主体和农户联动的产业发展格局。按照新时代国有粮食企业的功能定位和发展目标，在产权制度、混合所有制、人才薪酬制度等方面进行重点突破，加快国有粮食企业改革。适应收储制度改革的需要，延长产业链条，提高国有粮食企业营运效率，主动适应和引领粮食产业转型升级。</w:t>
      </w:r>
    </w:p>
    <w:p>
      <w:pPr>
        <w:ind w:firstLine="640" w:firstLineChars="200"/>
        <w:rPr>
          <w:rFonts w:ascii="仿宋_GB2312" w:eastAsia="仿宋_GB2312"/>
          <w:sz w:val="32"/>
        </w:rPr>
      </w:pPr>
    </w:p>
    <w:p>
      <w:pPr>
        <w:outlineLvl w:val="1"/>
        <w:rPr>
          <w:rFonts w:ascii="仿宋_GB2312" w:eastAsia="仿宋_GB2312"/>
          <w:b/>
          <w:sz w:val="32"/>
        </w:rPr>
      </w:pPr>
      <w:bookmarkStart w:id="26" w:name="_Toc90880555"/>
      <w:r>
        <w:rPr>
          <w:rFonts w:hint="eastAsia" w:ascii="仿宋_GB2312" w:eastAsia="仿宋_GB2312"/>
          <w:b/>
          <w:sz w:val="32"/>
        </w:rPr>
        <w:t>三</w:t>
      </w:r>
      <w:r>
        <w:rPr>
          <w:rFonts w:ascii="仿宋_GB2312" w:eastAsia="仿宋_GB2312"/>
          <w:b/>
          <w:sz w:val="32"/>
        </w:rPr>
        <w:t>、粮食园区</w:t>
      </w:r>
      <w:r>
        <w:rPr>
          <w:rFonts w:hint="eastAsia" w:ascii="仿宋_GB2312" w:eastAsia="仿宋_GB2312"/>
          <w:b/>
          <w:sz w:val="32"/>
        </w:rPr>
        <w:t>优化发展</w:t>
      </w:r>
      <w:bookmarkEnd w:id="26"/>
    </w:p>
    <w:p>
      <w:pPr>
        <w:ind w:firstLine="640" w:firstLineChars="200"/>
        <w:rPr>
          <w:rFonts w:ascii="仿宋_GB2312" w:eastAsia="仿宋_GB2312"/>
          <w:sz w:val="32"/>
        </w:rPr>
      </w:pPr>
      <w:r>
        <w:rPr>
          <w:rFonts w:hint="eastAsia" w:ascii="仿宋_GB2312" w:eastAsia="仿宋_GB2312"/>
          <w:sz w:val="32"/>
        </w:rPr>
        <w:t>突出桂林粮食产业特色，优化粮食产业布局，推动粮食产业集聚发展。重点抓好全州桂北粮食仓储物流园区建设，促进优势企业、先进技术、高端人才和资金进入园区，发挥园区的聚集、辐射和带动效应。鼓励园区优势龙头企业与产业链上下游各类市场主体结成产业联盟，发展粮食产业联合体，积极推行企业之间仓储、技术、管理、物资、信息、资金、市场等资源有偿共享、优势互补，促进产业的上下游延伸和协作配套，逐步推动多核式产业集群发展，打响园区品牌和企业品牌，不断增强园区核心竞争力。</w:t>
      </w:r>
    </w:p>
    <w:p>
      <w:pPr>
        <w:ind w:firstLine="640" w:firstLineChars="200"/>
        <w:rPr>
          <w:rFonts w:ascii="仿宋_GB2312" w:eastAsia="仿宋_GB2312"/>
          <w:sz w:val="32"/>
        </w:rPr>
      </w:pPr>
      <w:r>
        <w:rPr>
          <w:rFonts w:hint="eastAsia" w:ascii="仿宋_GB2312" w:eastAsia="仿宋_GB2312"/>
          <w:sz w:val="32"/>
        </w:rPr>
        <w:t>从规划布局、产业发展、设施建设、管理服务等方面全面升级粮食产业园区，提升园区承载能力。建设多式联运、功能齐全、管理先进的集粮油储存、物流贸易、电子商务、精深加工、科技研发、应急保障功能于一体的现代化大型粮食产业园区，建设现代粮食产业发展示范园区（基地）。</w:t>
      </w:r>
    </w:p>
    <w:p>
      <w:pPr>
        <w:ind w:firstLine="640" w:firstLineChars="200"/>
        <w:rPr>
          <w:rFonts w:ascii="仿宋_GB2312" w:eastAsia="仿宋_GB2312"/>
          <w:sz w:val="32"/>
        </w:rPr>
      </w:pPr>
    </w:p>
    <w:p>
      <w:pPr>
        <w:outlineLvl w:val="1"/>
        <w:rPr>
          <w:rFonts w:ascii="仿宋_GB2312" w:eastAsia="仿宋_GB2312"/>
          <w:b/>
          <w:sz w:val="32"/>
        </w:rPr>
      </w:pPr>
      <w:bookmarkStart w:id="27" w:name="_Toc90880556"/>
      <w:r>
        <w:rPr>
          <w:rFonts w:hint="eastAsia" w:ascii="仿宋_GB2312" w:eastAsia="仿宋_GB2312"/>
          <w:b/>
          <w:sz w:val="32"/>
        </w:rPr>
        <w:t>四</w:t>
      </w:r>
      <w:r>
        <w:rPr>
          <w:rFonts w:ascii="仿宋_GB2312" w:eastAsia="仿宋_GB2312"/>
          <w:b/>
          <w:sz w:val="32"/>
        </w:rPr>
        <w:t>、粮油品牌培育提升</w:t>
      </w:r>
      <w:bookmarkEnd w:id="27"/>
    </w:p>
    <w:p>
      <w:pPr>
        <w:ind w:firstLine="640" w:firstLineChars="200"/>
        <w:rPr>
          <w:rFonts w:ascii="仿宋_GB2312" w:hAnsi="仿宋" w:eastAsia="仿宋_GB2312" w:cs="Calibri"/>
          <w:sz w:val="32"/>
          <w:szCs w:val="32"/>
        </w:rPr>
      </w:pPr>
      <w:r>
        <w:rPr>
          <w:rFonts w:hint="eastAsia" w:ascii="仿宋_GB2312" w:eastAsia="仿宋_GB2312"/>
          <w:sz w:val="32"/>
        </w:rPr>
        <w:t>加强粮油品牌建设，树立优粮优价导向，推进品种品质品牌提升行动，培育具有自主知识产权和较强市场竞争力的知名粮食产品品牌。积极参与“中国好粮油”“广西好粮油”计划，融入“广西香米”区域公用品牌，全面提升桂林粮油品牌知名度和市场竞争力。</w:t>
      </w:r>
      <w:r>
        <w:rPr>
          <w:rFonts w:ascii="仿宋_GB2312" w:eastAsia="仿宋_GB2312"/>
          <w:sz w:val="32"/>
        </w:rPr>
        <w:t>着力增品种、提品质、创品牌，宣传培育“</w:t>
      </w:r>
      <w:r>
        <w:rPr>
          <w:rFonts w:hint="eastAsia" w:ascii="仿宋_GB2312" w:eastAsia="仿宋_GB2312"/>
          <w:sz w:val="32"/>
        </w:rPr>
        <w:t>桂林米粉</w:t>
      </w:r>
      <w:r>
        <w:rPr>
          <w:rFonts w:ascii="仿宋_GB2312" w:eastAsia="仿宋_GB2312"/>
          <w:sz w:val="32"/>
        </w:rPr>
        <w:t>”“</w:t>
      </w:r>
      <w:r>
        <w:rPr>
          <w:rFonts w:hint="eastAsia" w:ascii="仿宋_GB2312" w:eastAsia="仿宋_GB2312"/>
          <w:sz w:val="32"/>
        </w:rPr>
        <w:t>力源粮油</w:t>
      </w:r>
      <w:r>
        <w:rPr>
          <w:rFonts w:ascii="仿宋_GB2312" w:eastAsia="仿宋_GB2312"/>
          <w:sz w:val="32"/>
        </w:rPr>
        <w:t>”等区域特色产品</w:t>
      </w:r>
      <w:r>
        <w:rPr>
          <w:rFonts w:hint="eastAsia" w:ascii="仿宋_GB2312" w:eastAsia="仿宋_GB2312"/>
          <w:sz w:val="32"/>
        </w:rPr>
        <w:t>，逐步形成以区域公用品牌为引领、以知名龙头企业品牌为支撑的桂林特色粮油品牌矩阵。</w:t>
      </w:r>
      <w:r>
        <w:rPr>
          <w:rFonts w:hint="eastAsia" w:ascii="仿宋_GB2312" w:hAnsi="仿宋" w:eastAsia="仿宋_GB2312" w:cs="Calibri"/>
          <w:sz w:val="32"/>
          <w:szCs w:val="32"/>
        </w:rPr>
        <w:t>加强绿色食品、有机农产品、地理标志农产品认证和管理，打造“全州香米”等地方知名粮油产品品牌。</w:t>
      </w:r>
    </w:p>
    <w:p>
      <w:pPr>
        <w:ind w:firstLine="640" w:firstLineChars="200"/>
        <w:rPr>
          <w:rFonts w:ascii="仿宋_GB2312" w:eastAsia="仿宋_GB2312"/>
          <w:sz w:val="32"/>
        </w:rPr>
      </w:pPr>
      <w:r>
        <w:rPr>
          <w:rFonts w:hint="eastAsia" w:ascii="仿宋_GB2312" w:eastAsia="仿宋_GB2312"/>
          <w:sz w:val="32"/>
        </w:rPr>
        <w:t>营造品牌氛围，强化粮油企业品牌意识，结合乡村振兴，借助文化旅游、乡村旅游、工业旅游的理念，积极开展优质粮油产品评选、展示、推介活动，多途径宣传品牌、展示产品、传扬理念。</w:t>
      </w:r>
      <w:r>
        <w:rPr>
          <w:rFonts w:hint="eastAsia" w:ascii="仿宋_GB2312" w:hAnsi="仿宋" w:eastAsia="仿宋_GB2312" w:cs="Calibri"/>
          <w:sz w:val="32"/>
          <w:szCs w:val="32"/>
        </w:rPr>
        <w:t>全面推进“粮油品牌营销提升行动”，大力实施品牌战略，提炼粮食品牌人文属性，支持爱粮节粮宣传教育基地和粮食文化展示基地建设，鼓励发展粮食产业观光、体验式消费等新业态。以经营无公害农产品、绿色食品和有机食品为导向，打造品牌市场、品牌商户、品牌粮油。持续引导粮油商户向品牌化经营发展，支持建立和完善品牌授受制度，引导商户提升经营品质，让市民更放心消费。</w:t>
      </w:r>
    </w:p>
    <w:p>
      <w:pPr>
        <w:ind w:firstLine="640" w:firstLineChars="200"/>
        <w:rPr>
          <w:rFonts w:ascii="仿宋_GB2312" w:eastAsia="仿宋_GB2312"/>
          <w:sz w:val="32"/>
        </w:rPr>
      </w:pPr>
    </w:p>
    <w:p>
      <w:pPr>
        <w:outlineLvl w:val="1"/>
        <w:rPr>
          <w:rFonts w:ascii="仿宋_GB2312" w:eastAsia="仿宋_GB2312"/>
          <w:b/>
          <w:sz w:val="32"/>
        </w:rPr>
      </w:pPr>
      <w:bookmarkStart w:id="28" w:name="_Toc90880557"/>
      <w:r>
        <w:rPr>
          <w:rFonts w:hint="eastAsia" w:ascii="仿宋_GB2312" w:eastAsia="仿宋_GB2312"/>
          <w:b/>
          <w:sz w:val="32"/>
        </w:rPr>
        <w:t>五</w:t>
      </w:r>
      <w:r>
        <w:rPr>
          <w:rFonts w:ascii="仿宋_GB2312" w:eastAsia="仿宋_GB2312"/>
          <w:b/>
          <w:sz w:val="32"/>
        </w:rPr>
        <w:t>、粮食产业转型升级</w:t>
      </w:r>
      <w:bookmarkEnd w:id="28"/>
    </w:p>
    <w:p>
      <w:pPr>
        <w:ind w:firstLine="640" w:firstLineChars="200"/>
        <w:rPr>
          <w:rFonts w:ascii="仿宋_GB2312" w:eastAsia="仿宋_GB2312"/>
          <w:sz w:val="32"/>
        </w:rPr>
      </w:pPr>
      <w:r>
        <w:rPr>
          <w:rFonts w:hint="eastAsia" w:ascii="仿宋_GB2312" w:eastAsia="仿宋_GB2312"/>
          <w:sz w:val="32"/>
        </w:rPr>
        <w:t>主要依托优质粮食工程中的广西“中国好粮油”行动计划</w:t>
      </w:r>
      <w:r>
        <w:rPr>
          <w:rFonts w:ascii="仿宋_GB2312" w:eastAsia="仿宋_GB2312"/>
          <w:sz w:val="32"/>
        </w:rPr>
        <w:t>，围绕桂林粮食产业提档升级、香米种植基地建设等，打造“桂林香米”品牌，</w:t>
      </w:r>
      <w:r>
        <w:rPr>
          <w:rFonts w:hint="eastAsia" w:ascii="仿宋_GB2312" w:eastAsia="仿宋_GB2312"/>
          <w:sz w:val="32"/>
        </w:rPr>
        <w:t>对接广西“桂中香米产业带”建设，</w:t>
      </w:r>
      <w:r>
        <w:rPr>
          <w:rFonts w:ascii="仿宋_GB2312" w:eastAsia="仿宋_GB2312"/>
          <w:sz w:val="32"/>
        </w:rPr>
        <w:t>形成桂林重要粮源基地，带动桂林粮食产业实现</w:t>
      </w:r>
      <w:r>
        <w:rPr>
          <w:rFonts w:hint="eastAsia" w:ascii="仿宋_GB2312" w:eastAsia="仿宋_GB2312"/>
          <w:sz w:val="32"/>
        </w:rPr>
        <w:t>“五优联动”</w:t>
      </w:r>
      <w:r>
        <w:rPr>
          <w:rFonts w:ascii="仿宋_GB2312" w:eastAsia="仿宋_GB2312"/>
          <w:sz w:val="32"/>
        </w:rPr>
        <w:t>，促进粮食产业兴旺、农民增收、企业增效，提升粮食自给率和供给质量，促进粮食产业升级。</w:t>
      </w:r>
      <w:r>
        <w:rPr>
          <w:rFonts w:hint="eastAsia" w:ascii="仿宋_GB2312" w:eastAsia="仿宋_GB2312"/>
          <w:sz w:val="32"/>
        </w:rPr>
        <w:t>积极推进粮食产业建链、补链、强链，推动粮食加工产业从能量提供型向营养导向型转变，引导企业实施技术改造、设备更新和功能提升，发展壮大“全州香米”“永福香米”等传统特色产业集群，形成一批辐射范围广、带动能力强的粮食产业集群。</w:t>
      </w:r>
    </w:p>
    <w:p>
      <w:pPr>
        <w:ind w:firstLine="640" w:firstLineChars="200"/>
        <w:rPr>
          <w:rFonts w:ascii="仿宋_GB2312" w:eastAsia="仿宋_GB2312"/>
          <w:sz w:val="32"/>
        </w:rPr>
      </w:pPr>
      <w:r>
        <w:rPr>
          <w:rFonts w:hint="eastAsia" w:ascii="仿宋_GB2312" w:eastAsia="仿宋_GB2312"/>
          <w:sz w:val="32"/>
        </w:rPr>
        <w:t>推动主食产业发展，大力发展方便食品、速冻食品，推广“中央厨房</w:t>
      </w:r>
      <w:r>
        <w:rPr>
          <w:rFonts w:ascii="仿宋_GB2312" w:eastAsia="仿宋_GB2312"/>
          <w:sz w:val="32"/>
        </w:rPr>
        <w:t>+物流终端”“中央厨房+快餐门店”“健康数据+营养配餐+私人订制”等新型业态。</w:t>
      </w:r>
      <w:r>
        <w:rPr>
          <w:rFonts w:hint="eastAsia" w:ascii="仿宋_GB2312" w:eastAsia="仿宋_GB2312"/>
          <w:sz w:val="32"/>
        </w:rPr>
        <w:t>构建桂林米粉原料供应平台，积极实施米粉产业化规模化工程，打造米粉全产业链，做精做大桂林米粉产业。</w:t>
      </w:r>
      <w:r>
        <w:rPr>
          <w:rFonts w:ascii="仿宋_GB2312" w:eastAsia="仿宋_GB2312"/>
          <w:sz w:val="32"/>
        </w:rPr>
        <w:t>发展专用米、糙米</w:t>
      </w:r>
      <w:r>
        <w:rPr>
          <w:rFonts w:hint="eastAsia" w:ascii="仿宋_GB2312" w:eastAsia="仿宋_GB2312"/>
          <w:sz w:val="32"/>
        </w:rPr>
        <w:t>、功能性稻米、专用粉、专用油</w:t>
      </w:r>
      <w:r>
        <w:rPr>
          <w:rFonts w:ascii="仿宋_GB2312" w:eastAsia="仿宋_GB2312"/>
          <w:sz w:val="32"/>
        </w:rPr>
        <w:t>等新型营养健康食品</w:t>
      </w:r>
      <w:r>
        <w:rPr>
          <w:rFonts w:hint="eastAsia" w:ascii="仿宋_GB2312" w:eastAsia="仿宋_GB2312"/>
          <w:sz w:val="32"/>
        </w:rPr>
        <w:t>，推动粮食加工逐步由粮食初级产品向高端产品、特色产品转变</w:t>
      </w:r>
      <w:r>
        <w:rPr>
          <w:rFonts w:ascii="仿宋_GB2312" w:eastAsia="仿宋_GB2312"/>
          <w:sz w:val="32"/>
        </w:rPr>
        <w:t>，扶</w:t>
      </w:r>
      <w:r>
        <w:rPr>
          <w:rFonts w:hint="eastAsia" w:ascii="仿宋_GB2312" w:eastAsia="仿宋_GB2312"/>
          <w:sz w:val="32"/>
        </w:rPr>
        <w:t>持发展高附加值、高科技含量的未来粮食产业，打造特色米制品产业基地，推进桂林特色粮油产业迈向价值链中高端。</w:t>
      </w:r>
    </w:p>
    <w:p>
      <w:pPr>
        <w:ind w:firstLine="640" w:firstLineChars="200"/>
        <w:rPr>
          <w:rFonts w:ascii="仿宋_GB2312" w:eastAsia="仿宋_GB2312"/>
          <w:sz w:val="32"/>
        </w:rPr>
      </w:pPr>
      <w:r>
        <w:rPr>
          <w:rFonts w:hint="eastAsia" w:ascii="仿宋_GB2312" w:eastAsia="仿宋_GB2312"/>
          <w:sz w:val="32"/>
        </w:rPr>
        <w:t>一二三产业融合发展，鼓励推行“稻</w:t>
      </w:r>
      <w:r>
        <w:rPr>
          <w:rFonts w:ascii="仿宋_GB2312" w:eastAsia="仿宋_GB2312"/>
          <w:sz w:val="32"/>
        </w:rPr>
        <w:t>+鱼、稻+螺、稻+虾、稻+蟹、稻+鸭”等“种养结合”模式，促进粮食产业与林牧渔业深度融合。</w:t>
      </w:r>
      <w:r>
        <w:rPr>
          <w:rFonts w:hint="eastAsia" w:ascii="仿宋_GB2312" w:eastAsia="仿宋_GB2312"/>
          <w:sz w:val="32"/>
        </w:rPr>
        <w:t>大力发展粮食循环经济，打造碎米、陈米、米糠、谷壳、稻草等粮食副产品的综合利用产业链。鼓励企业跨界发展，引导粮食加工向康养保健领域延伸，开发新型优质健康粮食产品，融入广西和桂林市大健康产业布局。打破行业、地域、所有制界限，发展产业联盟和各类联合体，引导粮食企业开展区内外、市内外粮食贸易和产业合作，支持骨干企业建设区外、市外粮食生产加工基地，“走出去”参与国内国际双循环和产业分工，全面做大做优做强粮食产业。</w:t>
      </w:r>
    </w:p>
    <w:p>
      <w:pPr>
        <w:ind w:firstLine="640" w:firstLineChars="200"/>
        <w:rPr>
          <w:rFonts w:ascii="仿宋_GB2312" w:eastAsia="仿宋_GB2312"/>
          <w:sz w:val="32"/>
        </w:rPr>
      </w:pPr>
      <w:r>
        <w:rPr>
          <w:rFonts w:hint="eastAsia" w:ascii="仿宋_GB2312" w:eastAsia="仿宋_GB2312"/>
          <w:sz w:val="32"/>
        </w:rPr>
        <w:t>充分发挥粮食加工转化引擎作用，以粮食加工企业为引擎，打造从产区到销区、从田间到餐桌的“产购储加销”全产业链粮食产业体系，形成“大粮食”“大产业”“大流通”“大市场”的新发展格局。</w:t>
      </w:r>
    </w:p>
    <w:p>
      <w:pPr>
        <w:ind w:firstLine="640" w:firstLineChars="200"/>
        <w:rPr>
          <w:rFonts w:ascii="仿宋_GB2312" w:eastAsia="仿宋_GB2312"/>
          <w:sz w:val="32"/>
        </w:rPr>
      </w:pPr>
    </w:p>
    <w:p>
      <w:pPr>
        <w:rPr>
          <w:rFonts w:ascii="仿宋_GB2312" w:eastAsia="仿宋_GB2312"/>
          <w:b/>
          <w:sz w:val="36"/>
          <w:szCs w:val="20"/>
        </w:rPr>
      </w:pPr>
      <w:r>
        <w:rPr>
          <w:rFonts w:ascii="仿宋_GB2312" w:eastAsia="仿宋_GB2312"/>
          <w:b/>
          <w:sz w:val="36"/>
          <w:szCs w:val="20"/>
        </w:rPr>
        <w:br w:type="page"/>
      </w:r>
    </w:p>
    <w:p>
      <w:pPr>
        <w:snapToGrid w:val="0"/>
        <w:spacing w:before="312" w:beforeLines="100" w:after="312" w:afterLines="100" w:line="360" w:lineRule="auto"/>
        <w:jc w:val="center"/>
        <w:outlineLvl w:val="0"/>
        <w:rPr>
          <w:rFonts w:ascii="仿宋_GB2312" w:eastAsia="仿宋_GB2312"/>
          <w:b/>
          <w:sz w:val="36"/>
          <w:szCs w:val="20"/>
        </w:rPr>
      </w:pPr>
      <w:bookmarkStart w:id="29" w:name="_Toc90880558"/>
      <w:r>
        <w:rPr>
          <w:rFonts w:hint="eastAsia" w:ascii="仿宋_GB2312" w:eastAsia="仿宋_GB2312"/>
          <w:b/>
          <w:sz w:val="36"/>
          <w:szCs w:val="20"/>
        </w:rPr>
        <w:t>第六章 提升粮食仓储物流水平</w:t>
      </w:r>
      <w:bookmarkEnd w:id="29"/>
    </w:p>
    <w:p>
      <w:pPr>
        <w:outlineLvl w:val="1"/>
        <w:rPr>
          <w:rFonts w:ascii="仿宋_GB2312" w:eastAsia="仿宋_GB2312"/>
          <w:b/>
          <w:sz w:val="32"/>
        </w:rPr>
      </w:pPr>
      <w:bookmarkStart w:id="30" w:name="_Toc90880559"/>
      <w:r>
        <w:rPr>
          <w:rFonts w:hint="eastAsia" w:ascii="仿宋_GB2312" w:eastAsia="仿宋_GB2312"/>
          <w:b/>
          <w:sz w:val="32"/>
        </w:rPr>
        <w:t>一</w:t>
      </w:r>
      <w:r>
        <w:rPr>
          <w:rFonts w:ascii="仿宋_GB2312" w:eastAsia="仿宋_GB2312"/>
          <w:b/>
          <w:sz w:val="32"/>
        </w:rPr>
        <w:t>、粮食物流体系建设</w:t>
      </w:r>
      <w:bookmarkEnd w:id="30"/>
    </w:p>
    <w:p>
      <w:pPr>
        <w:ind w:firstLine="640" w:firstLineChars="200"/>
        <w:rPr>
          <w:rFonts w:ascii="仿宋_GB2312" w:eastAsia="仿宋_GB2312"/>
          <w:sz w:val="32"/>
        </w:rPr>
      </w:pPr>
      <w:r>
        <w:rPr>
          <w:rFonts w:hint="eastAsia" w:ascii="仿宋_GB2312" w:eastAsia="仿宋_GB2312"/>
          <w:sz w:val="32"/>
        </w:rPr>
        <w:t>充分利用我市粮食主产区和国家粮食主产省毗邻资源优势以及国家区域性物流节点优势，加快粮食物流基础设施建设，建设广西重要的粮食物流节点。对接《桂林市国家物流枢纽布局城市建设规划》，进一步优化物流骨干网络和物流节点功能布局，主要依托铁路、公路等综合交通运输骨干网及枢纽，畅通物流运输节点，优化粮食物流基础设施布局。在贵广高铁桂林西站物流中心建设桂林粮油物流中心，基于铁路干线畅通桂林粮油大宗物资集散和铁路集装箱货运，提升粮食物流效率。依托位于全州县全州镇的桂林市北部</w:t>
      </w:r>
      <w:r>
        <w:rPr>
          <w:rFonts w:ascii="仿宋_GB2312" w:eastAsia="仿宋_GB2312"/>
          <w:sz w:val="32"/>
        </w:rPr>
        <w:t>物流枢纽</w:t>
      </w:r>
      <w:r>
        <w:rPr>
          <w:rFonts w:hint="eastAsia" w:ascii="仿宋_GB2312" w:eastAsia="仿宋_GB2312"/>
          <w:sz w:val="32"/>
        </w:rPr>
        <w:t>，建设兴建集仓储、加工、烘干、贸易物流、信息综合为一体的全州桂北粮食仓储物流中心。借力桂林高铁经济产业园政策优势，依托桂林城北商贸物流中心的区位优势，加快建成灵川聚农粮油物流中心和粮油物流园。引导粮食企业向粮食物流园区集聚，优化提升仓储、加工、物流、质检、科研、电子商务等配套服务功能。</w:t>
      </w:r>
    </w:p>
    <w:p>
      <w:pPr>
        <w:ind w:firstLine="640" w:firstLineChars="200"/>
        <w:rPr>
          <w:rFonts w:ascii="仿宋_GB2312" w:eastAsia="仿宋_GB2312"/>
          <w:sz w:val="32"/>
        </w:rPr>
      </w:pPr>
      <w:r>
        <w:rPr>
          <w:rFonts w:hint="eastAsia" w:ascii="仿宋_GB2312" w:eastAsia="仿宋_GB2312"/>
          <w:sz w:val="32"/>
        </w:rPr>
        <w:t>在物流组织枢纽空间布局、设施装备标准、环节操作规范等方面，强化粮食物流与社会化物流系统的融合对接，把粮食物流融入社会物流网络系统。推动粮食物流嵌套兼容应急保障功能，在粮食物流发展中应加强平急结合建设，形成应急功能有机嵌入的现代粮食物流体系。鼓励粮食企业加快粮食物流与信息化融合发展，提高组织化水平和服务效率。推动粮食物流标准化建设，推广原粮物流</w:t>
      </w:r>
      <w:r>
        <w:rPr>
          <w:rFonts w:ascii="仿宋_GB2312" w:eastAsia="仿宋_GB2312"/>
          <w:sz w:val="32"/>
        </w:rPr>
        <w:t>“</w:t>
      </w:r>
      <w:r>
        <w:rPr>
          <w:rFonts w:hint="eastAsia" w:ascii="仿宋_GB2312" w:eastAsia="仿宋_GB2312"/>
          <w:sz w:val="32"/>
        </w:rPr>
        <w:t>四散化</w:t>
      </w:r>
      <w:r>
        <w:rPr>
          <w:rFonts w:ascii="仿宋_GB2312" w:eastAsia="仿宋_GB2312"/>
          <w:sz w:val="32"/>
        </w:rPr>
        <w:t>”</w:t>
      </w:r>
      <w:r>
        <w:rPr>
          <w:rFonts w:hint="eastAsia" w:ascii="仿宋_GB2312" w:eastAsia="仿宋_GB2312"/>
          <w:sz w:val="32"/>
        </w:rPr>
        <w:t>（散储、散运、散装、散卸）、集装化、标准化，推动成品粮物流托盘等标准化装载单元器具的循环共用。</w:t>
      </w:r>
    </w:p>
    <w:p>
      <w:pPr>
        <w:ind w:firstLine="640" w:firstLineChars="200"/>
        <w:rPr>
          <w:rFonts w:ascii="仿宋_GB2312" w:eastAsia="仿宋_GB2312"/>
          <w:sz w:val="32"/>
        </w:rPr>
      </w:pPr>
    </w:p>
    <w:p>
      <w:pPr>
        <w:outlineLvl w:val="1"/>
        <w:rPr>
          <w:rFonts w:ascii="仿宋_GB2312" w:eastAsia="仿宋_GB2312"/>
          <w:b/>
          <w:sz w:val="32"/>
        </w:rPr>
      </w:pPr>
      <w:bookmarkStart w:id="31" w:name="_Toc90880560"/>
      <w:r>
        <w:rPr>
          <w:rFonts w:hint="eastAsia" w:ascii="仿宋_GB2312" w:eastAsia="仿宋_GB2312"/>
          <w:b/>
          <w:sz w:val="32"/>
        </w:rPr>
        <w:t>二</w:t>
      </w:r>
      <w:r>
        <w:rPr>
          <w:rFonts w:ascii="仿宋_GB2312" w:eastAsia="仿宋_GB2312"/>
          <w:b/>
          <w:sz w:val="32"/>
        </w:rPr>
        <w:t>、粮库规划布局和建设</w:t>
      </w:r>
      <w:bookmarkEnd w:id="31"/>
    </w:p>
    <w:p>
      <w:pPr>
        <w:ind w:firstLine="640" w:firstLineChars="200"/>
        <w:rPr>
          <w:rFonts w:ascii="仿宋_GB2312" w:eastAsia="仿宋_GB2312"/>
          <w:sz w:val="32"/>
        </w:rPr>
      </w:pPr>
      <w:r>
        <w:rPr>
          <w:rFonts w:hint="eastAsia" w:ascii="仿宋_GB2312" w:eastAsia="仿宋_GB2312"/>
          <w:sz w:val="32"/>
        </w:rPr>
        <w:t>以布局优化、设施完善、功能提升为导向，根据不同地区的粮食生产能力、储备规模和流通需求等，科学统筹粮食仓储设施新建扩建和功能提升。按照与粮食收储任务相匹配的原则，加快建设储备粮库，“整合一批、提升一批、新建一批”仓储设施，优化仓储设施布局。构建“中心库—主库区—收纳点”三级体系，各县（区、市）一个中心库，</w:t>
      </w:r>
      <w:r>
        <w:rPr>
          <w:rFonts w:ascii="仿宋_GB2312" w:eastAsia="仿宋_GB2312"/>
          <w:sz w:val="32"/>
        </w:rPr>
        <w:t>仓容1.0万吨以上；每个国有或国有控股粮食企业确保一个主库区，适合现代储粮技术要求的仓容</w:t>
      </w:r>
      <w:r>
        <w:rPr>
          <w:rFonts w:hint="eastAsia" w:ascii="仿宋_GB2312" w:eastAsia="仿宋_GB2312"/>
          <w:sz w:val="32"/>
        </w:rPr>
        <w:t>0.</w:t>
      </w:r>
      <w:r>
        <w:rPr>
          <w:rFonts w:ascii="仿宋_GB2312" w:eastAsia="仿宋_GB2312"/>
          <w:sz w:val="32"/>
        </w:rPr>
        <w:t>5万吨以上；大的产粮乡镇，适当保留</w:t>
      </w:r>
      <w:r>
        <w:rPr>
          <w:rFonts w:hint="eastAsia" w:ascii="仿宋_GB2312" w:eastAsia="仿宋_GB2312"/>
          <w:sz w:val="32"/>
        </w:rPr>
        <w:t>1-</w:t>
      </w:r>
      <w:r>
        <w:rPr>
          <w:rFonts w:ascii="仿宋_GB2312" w:eastAsia="仿宋_GB2312"/>
          <w:sz w:val="32"/>
        </w:rPr>
        <w:t>2个收纳库点，收纳库点仓容规模视情况确定。</w:t>
      </w:r>
    </w:p>
    <w:p>
      <w:pPr>
        <w:ind w:firstLine="640" w:firstLineChars="200"/>
        <w:rPr>
          <w:rFonts w:ascii="仿宋_GB2312" w:eastAsia="仿宋_GB2312"/>
          <w:sz w:val="32"/>
        </w:rPr>
      </w:pPr>
      <w:r>
        <w:rPr>
          <w:rFonts w:hint="eastAsia" w:ascii="仿宋_GB2312" w:eastAsia="仿宋_GB2312"/>
          <w:sz w:val="32"/>
        </w:rPr>
        <w:t>结合粮食产销、市场需求、仓储状况、道路交通条件和中央储备粮布点等情况，撤销部分粮源少、业务量小的收纳库点，对</w:t>
      </w:r>
      <w:r>
        <w:rPr>
          <w:rFonts w:ascii="仿宋_GB2312" w:eastAsia="仿宋_GB2312"/>
          <w:sz w:val="32"/>
        </w:rPr>
        <w:t>0.05</w:t>
      </w:r>
      <w:r>
        <w:rPr>
          <w:rFonts w:hint="eastAsia" w:ascii="仿宋_GB2312" w:eastAsia="仿宋_GB2312"/>
          <w:sz w:val="32"/>
        </w:rPr>
        <w:t>万吨以下的库点，逐步置换或直接退出，提高仓储规模经济效益。改造或新建功能型粮食仓储设施，逐步实现粮食与物资储备统一管理、集中储存、库内分区的布局，推行分品种、分类、分仓储存。在有条件的县（区、市）建设</w:t>
      </w:r>
      <w:r>
        <w:rPr>
          <w:rFonts w:ascii="仿宋_GB2312" w:eastAsia="仿宋_GB2312"/>
          <w:sz w:val="32"/>
        </w:rPr>
        <w:t>现代化的中心粮库，提升库区功能。</w:t>
      </w:r>
      <w:r>
        <w:rPr>
          <w:rFonts w:hint="eastAsia" w:ascii="仿宋_GB2312" w:eastAsia="仿宋_GB2312"/>
          <w:sz w:val="32"/>
        </w:rPr>
        <w:t>推进储粮新技术、新工艺、新装备的应用，鼓励高标准粮仓建设和功能提升，从绿色储粮、低温准低温储粮、智能仓储、节能环保、高效进出仓等方面提升仓储设施现代化水平，重点建设信息化设施，配套自动作业机械。</w:t>
      </w:r>
      <w:r>
        <w:rPr>
          <w:rFonts w:ascii="仿宋_GB2312" w:eastAsia="仿宋_GB2312"/>
          <w:sz w:val="32"/>
        </w:rPr>
        <w:t>强化国有粮食仓储物流设施保护，鼓励地方政府和企业建立健全仓储物流设施维修改造长效机制，鼓励有条件的应急加工企业修建应急储备粮专用仓库。</w:t>
      </w:r>
    </w:p>
    <w:p>
      <w:pPr>
        <w:ind w:firstLine="640" w:firstLineChars="200"/>
        <w:rPr>
          <w:rFonts w:ascii="仿宋_GB2312" w:eastAsia="仿宋_GB2312"/>
          <w:sz w:val="32"/>
        </w:rPr>
      </w:pPr>
    </w:p>
    <w:p>
      <w:pPr>
        <w:outlineLvl w:val="1"/>
        <w:rPr>
          <w:rFonts w:ascii="仿宋_GB2312" w:eastAsia="仿宋_GB2312"/>
          <w:b/>
          <w:sz w:val="32"/>
        </w:rPr>
      </w:pPr>
      <w:bookmarkStart w:id="32" w:name="_Toc90880561"/>
      <w:r>
        <w:rPr>
          <w:rFonts w:hint="eastAsia" w:ascii="仿宋_GB2312" w:eastAsia="仿宋_GB2312"/>
          <w:b/>
          <w:sz w:val="32"/>
        </w:rPr>
        <w:t>三</w:t>
      </w:r>
      <w:r>
        <w:rPr>
          <w:rFonts w:ascii="仿宋_GB2312" w:eastAsia="仿宋_GB2312"/>
          <w:b/>
          <w:sz w:val="32"/>
        </w:rPr>
        <w:t>、粮食产后服务体系建设</w:t>
      </w:r>
      <w:bookmarkEnd w:id="32"/>
    </w:p>
    <w:p>
      <w:pPr>
        <w:ind w:firstLine="640" w:firstLineChars="200"/>
        <w:rPr>
          <w:rFonts w:ascii="仿宋_GB2312" w:hAnsi="仿宋_GB2312" w:eastAsia="仿宋_GB2312" w:cs="仿宋_GB2312"/>
          <w:sz w:val="32"/>
        </w:rPr>
      </w:pPr>
      <w:r>
        <w:rPr>
          <w:rFonts w:hint="eastAsia" w:ascii="仿宋_GB2312" w:eastAsia="仿宋_GB2312"/>
          <w:sz w:val="32"/>
        </w:rPr>
        <w:t>充分利用现有资源，进一步提升完善“代清理、代烘干、代储存、代加工、代销售”为核心内容的产后服务体系建设，落实相关支持政策，建设专业化的经营性粮食产后服务中心，提供社会化服务，形成完整的服务链，打造粮食产后服务体系全覆盖升级版。在收粮、储粮、卖粮、清理、降水、干燥等一系列产后服务的基础上，进一步提供农资、农机具、物流运输、代检测、技术指导等增值服务。着力打造粮食产后服务联合体，探索“加工企业</w:t>
      </w:r>
      <w:r>
        <w:rPr>
          <w:rFonts w:hint="eastAsia" w:ascii="微软雅黑" w:hAnsi="微软雅黑" w:eastAsia="微软雅黑" w:cs="微软雅黑"/>
          <w:sz w:val="32"/>
        </w:rPr>
        <w:t>+</w:t>
      </w:r>
      <w:r>
        <w:rPr>
          <w:rFonts w:hint="eastAsia" w:ascii="仿宋_GB2312" w:hAnsi="仿宋_GB2312" w:eastAsia="仿宋_GB2312" w:cs="仿宋_GB2312"/>
          <w:sz w:val="32"/>
        </w:rPr>
        <w:t>粮食产后服务中心</w:t>
      </w:r>
      <w:r>
        <w:rPr>
          <w:rFonts w:hint="eastAsia" w:ascii="微软雅黑" w:hAnsi="微软雅黑" w:eastAsia="微软雅黑" w:cs="微软雅黑"/>
          <w:sz w:val="32"/>
        </w:rPr>
        <w:t>+</w:t>
      </w:r>
      <w:r>
        <w:rPr>
          <w:rFonts w:hint="eastAsia" w:ascii="仿宋_GB2312" w:hAnsi="仿宋_GB2312" w:eastAsia="仿宋_GB2312" w:cs="仿宋_GB2312"/>
          <w:sz w:val="32"/>
        </w:rPr>
        <w:t>合作社（种粮大户）</w:t>
      </w:r>
      <w:r>
        <w:rPr>
          <w:rFonts w:hint="eastAsia" w:ascii="微软雅黑" w:hAnsi="微软雅黑" w:eastAsia="微软雅黑" w:cs="微软雅黑"/>
          <w:sz w:val="32"/>
        </w:rPr>
        <w:t>+</w:t>
      </w:r>
      <w:r>
        <w:rPr>
          <w:rFonts w:hint="eastAsia" w:ascii="仿宋_GB2312" w:hAnsi="仿宋_GB2312" w:eastAsia="仿宋_GB2312" w:cs="仿宋_GB2312"/>
          <w:sz w:val="32"/>
        </w:rPr>
        <w:t>农户”的联合体运营模式。</w:t>
      </w:r>
      <w:r>
        <w:rPr>
          <w:rFonts w:hint="eastAsia" w:ascii="仿宋_GB2312" w:eastAsia="仿宋_GB2312"/>
          <w:sz w:val="32"/>
        </w:rPr>
        <w:t>支持全州、临桂、兴安等产粮大县</w:t>
      </w:r>
      <w:r>
        <w:rPr>
          <w:rFonts w:hint="eastAsia" w:ascii="仿宋_GB2312" w:hAnsi="仿宋_GB2312" w:eastAsia="仿宋_GB2312" w:cs="仿宋_GB2312"/>
          <w:sz w:val="32"/>
        </w:rPr>
        <w:t>提升完善综合性粮食产后服务中心，不断提升粮食产后服务综合能力</w:t>
      </w:r>
      <w:r>
        <w:rPr>
          <w:rFonts w:ascii="仿宋_GB2312" w:eastAsia="仿宋_GB2312"/>
          <w:sz w:val="32"/>
        </w:rPr>
        <w:t>。</w:t>
      </w:r>
    </w:p>
    <w:p>
      <w:pPr>
        <w:ind w:firstLine="640" w:firstLineChars="200"/>
        <w:rPr>
          <w:rFonts w:ascii="仿宋_GB2312" w:eastAsia="仿宋_GB2312"/>
          <w:sz w:val="32"/>
        </w:rPr>
      </w:pPr>
      <w:r>
        <w:rPr>
          <w:rFonts w:hint="eastAsia" w:ascii="仿宋_GB2312" w:eastAsia="仿宋_GB2312"/>
          <w:sz w:val="32"/>
        </w:rPr>
        <w:t>建立粮食产后服务中心运营长效机制，助力节粮减损，更好地发挥粮食产后服务体系减损增收和保障国家粮食安全的重要作用。</w:t>
      </w:r>
      <w:r>
        <w:rPr>
          <w:rFonts w:ascii="仿宋_GB2312" w:eastAsia="仿宋_GB2312"/>
          <w:sz w:val="32"/>
        </w:rPr>
        <w:t>针对粮食</w:t>
      </w:r>
      <w:r>
        <w:rPr>
          <w:rFonts w:hint="eastAsia" w:ascii="仿宋_GB2312" w:eastAsia="仿宋_GB2312"/>
          <w:sz w:val="32"/>
        </w:rPr>
        <w:t>产后服务存在的技术难题</w:t>
      </w:r>
      <w:r>
        <w:rPr>
          <w:rFonts w:ascii="仿宋_GB2312" w:eastAsia="仿宋_GB2312"/>
          <w:sz w:val="32"/>
        </w:rPr>
        <w:t>和实际需求，积极探索</w:t>
      </w:r>
      <w:r>
        <w:rPr>
          <w:rFonts w:hint="eastAsia" w:ascii="仿宋_GB2312" w:eastAsia="仿宋_GB2312"/>
          <w:sz w:val="32"/>
        </w:rPr>
        <w:t>新技术的应用，积极建设粮食产后服务中心信息化系统，提高粮食产后服务中心的服务质量。</w:t>
      </w:r>
    </w:p>
    <w:p>
      <w:pPr>
        <w:ind w:firstLine="640" w:firstLineChars="200"/>
        <w:rPr>
          <w:rFonts w:ascii="仿宋_GB2312" w:eastAsia="仿宋_GB2312"/>
          <w:sz w:val="32"/>
        </w:rPr>
      </w:pPr>
    </w:p>
    <w:p>
      <w:pPr>
        <w:outlineLvl w:val="1"/>
        <w:rPr>
          <w:rFonts w:ascii="仿宋_GB2312" w:eastAsia="仿宋_GB2312"/>
          <w:b/>
          <w:sz w:val="32"/>
        </w:rPr>
      </w:pPr>
      <w:bookmarkStart w:id="33" w:name="_Toc90880562"/>
      <w:r>
        <w:rPr>
          <w:rFonts w:hint="eastAsia" w:ascii="仿宋_GB2312" w:eastAsia="仿宋_GB2312"/>
          <w:b/>
          <w:sz w:val="32"/>
        </w:rPr>
        <w:t>四</w:t>
      </w:r>
      <w:r>
        <w:rPr>
          <w:rFonts w:ascii="仿宋_GB2312" w:eastAsia="仿宋_GB2312"/>
          <w:b/>
          <w:sz w:val="32"/>
        </w:rPr>
        <w:t>、</w:t>
      </w:r>
      <w:r>
        <w:rPr>
          <w:rFonts w:hint="eastAsia" w:ascii="仿宋_GB2312" w:eastAsia="仿宋_GB2312"/>
          <w:b/>
          <w:sz w:val="32"/>
        </w:rPr>
        <w:t>推进</w:t>
      </w:r>
      <w:r>
        <w:rPr>
          <w:rFonts w:ascii="仿宋_GB2312" w:eastAsia="仿宋_GB2312"/>
          <w:b/>
          <w:sz w:val="32"/>
        </w:rPr>
        <w:t>绿色生态储粮</w:t>
      </w:r>
      <w:bookmarkEnd w:id="33"/>
    </w:p>
    <w:p>
      <w:pPr>
        <w:ind w:firstLine="640" w:firstLineChars="200"/>
        <w:rPr>
          <w:rFonts w:ascii="仿宋_GB2312" w:eastAsia="仿宋_GB2312"/>
          <w:sz w:val="32"/>
        </w:rPr>
      </w:pPr>
      <w:r>
        <w:rPr>
          <w:rFonts w:hint="eastAsia" w:ascii="仿宋_GB2312" w:eastAsia="仿宋_GB2312"/>
          <w:sz w:val="32"/>
        </w:rPr>
        <w:t>实施“粮食绿色仓储提升行动”，加快现有粮食仓储设施改造，鼓励新增设施使用低温保鲜技术、绿色生态储粮技术，推进绿色智能仓储建设。推进高标准粮仓示范建设，推广粮库精益管理，促进仓储设施储粮绿色化、管理智能化、作业自动化，鼓励粮食收储企业推行低温准低温储粮。</w:t>
      </w:r>
    </w:p>
    <w:p>
      <w:pPr>
        <w:ind w:firstLine="640" w:firstLineChars="200"/>
        <w:rPr>
          <w:rFonts w:ascii="仿宋_GB2312" w:eastAsia="仿宋_GB2312"/>
          <w:sz w:val="32"/>
        </w:rPr>
      </w:pPr>
      <w:r>
        <w:rPr>
          <w:rFonts w:hint="eastAsia" w:ascii="仿宋_GB2312" w:eastAsia="仿宋_GB2312"/>
          <w:sz w:val="32"/>
        </w:rPr>
        <w:t>利用现代粮仓建设技术和物流配套技术，积极推进低温准低温储粮、充氮气调储粮、仓顶光伏发电等绿色储粮技术应用，提高绿色储粮比例；利用新型辐射隔热材料和复合保湿材料，对中心粮库现有仓房硬件进行气密性、隔热性提升改造，并配套控温工艺，达到低温准低温储粮技术要求。各县（区、市）通过设施建设、仓储管理、资源整合等因地制宜提升仓储设施。到</w:t>
      </w:r>
      <w:r>
        <w:rPr>
          <w:rFonts w:ascii="仿宋_GB2312" w:eastAsia="仿宋_GB2312"/>
          <w:sz w:val="32"/>
        </w:rPr>
        <w:t>2025年，基本完成老旧仓房提升改造，满足“五优联动”优粮优储需要。</w:t>
      </w:r>
    </w:p>
    <w:p>
      <w:pPr>
        <w:ind w:firstLine="640" w:firstLineChars="200"/>
        <w:rPr>
          <w:rFonts w:ascii="仿宋_GB2312" w:eastAsia="仿宋_GB2312"/>
          <w:sz w:val="32"/>
        </w:rPr>
      </w:pPr>
    </w:p>
    <w:p>
      <w:pPr>
        <w:rPr>
          <w:rFonts w:ascii="仿宋_GB2312" w:eastAsia="仿宋_GB2312"/>
          <w:b/>
          <w:sz w:val="32"/>
        </w:rPr>
      </w:pPr>
      <w:r>
        <w:rPr>
          <w:rFonts w:ascii="仿宋_GB2312" w:eastAsia="仿宋_GB2312"/>
          <w:b/>
          <w:sz w:val="32"/>
        </w:rPr>
        <w:br w:type="page"/>
      </w:r>
    </w:p>
    <w:p>
      <w:pPr>
        <w:snapToGrid w:val="0"/>
        <w:spacing w:before="312" w:beforeLines="100" w:after="312" w:afterLines="100" w:line="360" w:lineRule="auto"/>
        <w:jc w:val="center"/>
        <w:outlineLvl w:val="0"/>
        <w:rPr>
          <w:rFonts w:ascii="仿宋_GB2312" w:eastAsia="仿宋_GB2312"/>
          <w:b/>
          <w:sz w:val="36"/>
          <w:szCs w:val="20"/>
        </w:rPr>
      </w:pPr>
      <w:bookmarkStart w:id="34" w:name="_Toc90880563"/>
      <w:r>
        <w:rPr>
          <w:rFonts w:hint="eastAsia" w:ascii="仿宋_GB2312" w:eastAsia="仿宋_GB2312"/>
          <w:b/>
          <w:sz w:val="36"/>
          <w:szCs w:val="20"/>
        </w:rPr>
        <w:t>第七章 增强军粮供应保障能力</w:t>
      </w:r>
      <w:bookmarkEnd w:id="34"/>
    </w:p>
    <w:p>
      <w:pPr>
        <w:outlineLvl w:val="1"/>
        <w:rPr>
          <w:rFonts w:ascii="仿宋_GB2312" w:eastAsia="仿宋_GB2312"/>
          <w:b/>
          <w:sz w:val="32"/>
        </w:rPr>
      </w:pPr>
      <w:bookmarkStart w:id="35" w:name="_Toc30401"/>
      <w:bookmarkStart w:id="36" w:name="_Toc15640"/>
      <w:bookmarkStart w:id="37" w:name="_Toc6373"/>
      <w:bookmarkStart w:id="38" w:name="_Toc27369"/>
      <w:bookmarkStart w:id="39" w:name="_Toc6055"/>
      <w:bookmarkStart w:id="40" w:name="_Toc73888732"/>
      <w:bookmarkStart w:id="41" w:name="_Toc90880564"/>
      <w:r>
        <w:rPr>
          <w:rFonts w:hint="eastAsia" w:ascii="仿宋_GB2312" w:eastAsia="仿宋_GB2312"/>
          <w:b/>
          <w:sz w:val="32"/>
        </w:rPr>
        <w:t>一、完善军粮供应保障</w:t>
      </w:r>
      <w:bookmarkEnd w:id="35"/>
      <w:bookmarkEnd w:id="36"/>
      <w:bookmarkEnd w:id="37"/>
      <w:bookmarkEnd w:id="38"/>
      <w:bookmarkEnd w:id="39"/>
      <w:bookmarkEnd w:id="40"/>
      <w:r>
        <w:rPr>
          <w:rFonts w:hint="eastAsia" w:ascii="仿宋_GB2312" w:eastAsia="仿宋_GB2312"/>
          <w:b/>
          <w:sz w:val="32"/>
        </w:rPr>
        <w:t>体系</w:t>
      </w:r>
      <w:bookmarkEnd w:id="41"/>
    </w:p>
    <w:p>
      <w:pPr>
        <w:ind w:firstLine="640" w:firstLineChars="200"/>
        <w:rPr>
          <w:rFonts w:ascii="仿宋_GB2312" w:eastAsia="仿宋_GB2312"/>
          <w:sz w:val="32"/>
        </w:rPr>
      </w:pPr>
      <w:r>
        <w:rPr>
          <w:rFonts w:hint="eastAsia" w:ascii="仿宋_GB2312" w:eastAsia="仿宋_GB2312"/>
          <w:sz w:val="32"/>
        </w:rPr>
        <w:t>适应部队后勤保障需求，按照“平战结合、机制顺畅、平稳高效、安全可靠”的原则，推动全天候军粮供应保障体系建设，不断提升军粮供应综合保障水平，打造“平时服务、急时应急、战时应战”的军粮供应综合保障网络体系。依托社会资源，结合军粮应急保障预案、“放心粮油工程”“军民融合工程”，将应急加工企业、放心粮油配送中心和经营网点纳入军粮应急保供体系，完善军粮供应保障体系。</w:t>
      </w:r>
    </w:p>
    <w:p>
      <w:pPr>
        <w:ind w:firstLine="640" w:firstLineChars="200"/>
        <w:rPr>
          <w:rFonts w:ascii="仿宋_GB2312" w:eastAsia="仿宋_GB2312"/>
          <w:sz w:val="32"/>
        </w:rPr>
      </w:pPr>
      <w:r>
        <w:rPr>
          <w:rFonts w:hint="eastAsia" w:ascii="仿宋_GB2312" w:eastAsia="仿宋_GB2312"/>
          <w:sz w:val="32"/>
        </w:rPr>
        <w:t>依托现代信息化技术，加快军粮供应信息化建设，加快纳入国家“军供云”和“广西军供云”监管体系，并入广西军粮供应信息化“一张网”，加速实现军供业务可视化、可监管、可追溯，促进军粮供应服务数字化转型，全面实现军粮应急保供指挥智能、调度灵活、全面提质。</w:t>
      </w:r>
    </w:p>
    <w:p>
      <w:pPr>
        <w:ind w:firstLine="640" w:firstLineChars="200"/>
        <w:rPr>
          <w:rFonts w:ascii="仿宋_GB2312" w:eastAsia="仿宋_GB2312"/>
          <w:sz w:val="32"/>
        </w:rPr>
      </w:pPr>
      <w:r>
        <w:rPr>
          <w:rFonts w:hint="eastAsia" w:ascii="仿宋_GB2312" w:eastAsia="仿宋_GB2312"/>
          <w:sz w:val="32"/>
        </w:rPr>
        <w:t>进一步优化军粮供应网络布局，提升桂林军粮区域型配送中心服务设施及功能，积极推进建设平乐、灌阳、全州、兴安军粮供应站搬迁项目，重点推进建设桂林市军民融合军粮供应工程区域配送中心项目，努力建成具备应急供应、军粮供应、成品粮储备、放心粮油、主食产业化等“五位一体”的全国示范性军粮供应综合保障基地。</w:t>
      </w:r>
    </w:p>
    <w:p>
      <w:pPr>
        <w:ind w:firstLine="640" w:firstLineChars="200"/>
        <w:rPr>
          <w:rFonts w:ascii="仿宋_GB2312" w:eastAsia="仿宋_GB2312"/>
          <w:sz w:val="32"/>
        </w:rPr>
      </w:pPr>
      <w:r>
        <w:rPr>
          <w:rFonts w:hint="eastAsia" w:ascii="仿宋_GB2312" w:eastAsia="仿宋_GB2312"/>
          <w:sz w:val="32"/>
        </w:rPr>
        <w:t>严格执行军粮供应政策，紧贴部队实际需求，建立《军粮质量档案》，高标准丰富供应品种。坚持主副并进、以副补主、量质并重，提升军粮保障能力，确保部队遂行多样化军事任务的供应保障。加强军粮质量监控和规范化管理，在采购、运输、储存保管等各个环节规范管理、按规操作。严把质量关，建立检测一本账，严格落实“一批一检一报告”，保证军供粮油质量合格率始终保持在100%，确保军粮供应安全。</w:t>
      </w:r>
    </w:p>
    <w:p>
      <w:pPr>
        <w:ind w:firstLine="640" w:firstLineChars="200"/>
        <w:rPr>
          <w:rFonts w:ascii="仿宋_GB2312" w:eastAsia="仿宋_GB2312"/>
          <w:sz w:val="32"/>
        </w:rPr>
      </w:pPr>
    </w:p>
    <w:p>
      <w:pPr>
        <w:outlineLvl w:val="1"/>
        <w:rPr>
          <w:rFonts w:ascii="仿宋_GB2312" w:eastAsia="仿宋_GB2312"/>
          <w:b/>
          <w:sz w:val="32"/>
        </w:rPr>
      </w:pPr>
      <w:bookmarkStart w:id="42" w:name="_Toc10968"/>
      <w:bookmarkStart w:id="43" w:name="_Toc29902"/>
      <w:bookmarkStart w:id="44" w:name="_Toc73888733"/>
      <w:bookmarkStart w:id="45" w:name="_Toc31312"/>
      <w:bookmarkStart w:id="46" w:name="_Toc28776"/>
      <w:bookmarkStart w:id="47" w:name="_Toc16289"/>
      <w:bookmarkStart w:id="48" w:name="_Toc90880565"/>
      <w:r>
        <w:rPr>
          <w:rFonts w:hint="eastAsia" w:ascii="仿宋_GB2312" w:eastAsia="仿宋_GB2312"/>
          <w:b/>
          <w:sz w:val="32"/>
        </w:rPr>
        <w:t>二、提升军粮机动保障能力</w:t>
      </w:r>
      <w:bookmarkEnd w:id="42"/>
      <w:bookmarkEnd w:id="43"/>
      <w:bookmarkEnd w:id="44"/>
      <w:bookmarkEnd w:id="45"/>
      <w:bookmarkEnd w:id="46"/>
      <w:bookmarkEnd w:id="47"/>
      <w:bookmarkEnd w:id="48"/>
    </w:p>
    <w:p>
      <w:pPr>
        <w:ind w:firstLine="640" w:firstLineChars="200"/>
        <w:rPr>
          <w:rFonts w:ascii="仿宋_GB2312" w:eastAsia="仿宋_GB2312"/>
          <w:sz w:val="32"/>
        </w:rPr>
      </w:pPr>
      <w:r>
        <w:rPr>
          <w:rFonts w:hint="eastAsia" w:ascii="仿宋_GB2312" w:eastAsia="仿宋_GB2312"/>
          <w:sz w:val="32"/>
        </w:rPr>
        <w:t>按照部队执行任务过程中所需的属地保障、伴随保障和增援保障，强化高标准军地协作，探索建立新时代军地联合协作机制。将军粮供应保障体系纳入全市粮食应急保障体系，为部队演练、处置突发事件、抢险救灾及战备、战争状态下的军粮应急提供机制保障。</w:t>
      </w:r>
    </w:p>
    <w:p>
      <w:pPr>
        <w:ind w:firstLine="640" w:firstLineChars="200"/>
        <w:rPr>
          <w:rFonts w:ascii="仿宋_GB2312" w:eastAsia="仿宋_GB2312"/>
          <w:sz w:val="32"/>
          <w:szCs w:val="32"/>
          <w:shd w:val="clear" w:color="auto" w:fill="F8F8F8"/>
        </w:rPr>
      </w:pPr>
      <w:r>
        <w:rPr>
          <w:rFonts w:hint="eastAsia" w:ascii="仿宋_GB2312" w:eastAsia="仿宋_GB2312"/>
          <w:sz w:val="32"/>
          <w:szCs w:val="32"/>
          <w:shd w:val="clear" w:color="auto" w:fill="F8F8F8"/>
        </w:rPr>
        <w:t>针对部队遂行处突、抢险救灾等任务特点，结合不同建制、不同规模、不同任务、不同需求，</w:t>
      </w:r>
      <w:r>
        <w:rPr>
          <w:rFonts w:ascii="仿宋_GB2312" w:eastAsia="仿宋_GB2312"/>
          <w:sz w:val="32"/>
          <w:szCs w:val="32"/>
          <w:shd w:val="clear" w:color="auto" w:fill="F8F8F8"/>
        </w:rPr>
        <w:t>优化军粮筹措、加工、调动和供应保障流程，</w:t>
      </w:r>
      <w:r>
        <w:rPr>
          <w:rFonts w:hint="eastAsia" w:ascii="仿宋_GB2312" w:eastAsia="仿宋_GB2312"/>
          <w:sz w:val="32"/>
          <w:szCs w:val="32"/>
          <w:shd w:val="clear" w:color="auto" w:fill="F8F8F8"/>
        </w:rPr>
        <w:t>实施全天候、全时段、全方位军粮</w:t>
      </w:r>
      <w:r>
        <w:rPr>
          <w:rFonts w:ascii="仿宋_GB2312" w:eastAsia="仿宋_GB2312"/>
          <w:sz w:val="32"/>
          <w:szCs w:val="32"/>
          <w:shd w:val="clear" w:color="auto" w:fill="F8F8F8"/>
        </w:rPr>
        <w:t>精准</w:t>
      </w:r>
      <w:r>
        <w:rPr>
          <w:rFonts w:hint="eastAsia" w:ascii="仿宋_GB2312" w:eastAsia="仿宋_GB2312"/>
          <w:sz w:val="32"/>
          <w:szCs w:val="32"/>
          <w:shd w:val="clear" w:color="auto" w:fill="F8F8F8"/>
        </w:rPr>
        <w:t>保障，确保随时供得上、供好粮，</w:t>
      </w:r>
      <w:r>
        <w:rPr>
          <w:rFonts w:ascii="仿宋_GB2312" w:eastAsia="仿宋_GB2312"/>
          <w:sz w:val="32"/>
          <w:szCs w:val="32"/>
          <w:shd w:val="clear" w:color="auto" w:fill="F8F8F8"/>
        </w:rPr>
        <w:t>不断供、不漏供、不误供。</w:t>
      </w:r>
    </w:p>
    <w:p>
      <w:pPr>
        <w:ind w:firstLine="640" w:firstLineChars="200"/>
        <w:rPr>
          <w:rFonts w:ascii="仿宋_GB2312" w:eastAsia="仿宋_GB2312"/>
          <w:sz w:val="32"/>
        </w:rPr>
      </w:pPr>
      <w:r>
        <w:rPr>
          <w:rFonts w:hint="eastAsia" w:ascii="仿宋_GB2312" w:eastAsia="仿宋_GB2312"/>
          <w:sz w:val="32"/>
        </w:rPr>
        <w:t>进一步完善军供企业应急保障设施设备，着力提升仓储、加工、运输、配送能力。将主副食集约化保障纳入应急保障体系，瞄准军队后勤保障需求，统筹军粮系统优势资源，着力打造品种丰富、来源可控、质量可溯的主副食食品应急保障体系，进一步满足部队官兵在应急作战环境下的多样化、营养化、快捷化、方便化需要。</w:t>
      </w:r>
    </w:p>
    <w:p>
      <w:pPr>
        <w:ind w:firstLine="640" w:firstLineChars="200"/>
        <w:rPr>
          <w:rFonts w:ascii="仿宋_GB2312" w:eastAsia="仿宋_GB2312"/>
          <w:sz w:val="32"/>
        </w:rPr>
      </w:pPr>
      <w:r>
        <w:rPr>
          <w:rFonts w:hint="eastAsia" w:ascii="仿宋_GB2312" w:eastAsia="仿宋_GB2312"/>
          <w:sz w:val="32"/>
        </w:rPr>
        <w:t>夯实熟食即食食品应急保供基础，探索与熟食加工、储备、供应等龙头企业建立长期稳定的合作关系，与信誉好、加工储备能力强的熟食食品加工企业签订供应储备协议，扩充稳定部队所需熟食即食来源。进一步完善熟食即食食品加工、保鲜、储存基础设施，提高熟食即食储备保供能力。</w:t>
      </w:r>
    </w:p>
    <w:p>
      <w:pPr>
        <w:ind w:firstLine="640" w:firstLineChars="200"/>
        <w:rPr>
          <w:rFonts w:ascii="仿宋_GB2312" w:eastAsia="仿宋_GB2312"/>
          <w:sz w:val="32"/>
        </w:rPr>
      </w:pPr>
    </w:p>
    <w:p>
      <w:pPr>
        <w:outlineLvl w:val="1"/>
        <w:rPr>
          <w:rFonts w:ascii="仿宋_GB2312" w:eastAsia="仿宋_GB2312"/>
          <w:b/>
          <w:sz w:val="32"/>
        </w:rPr>
      </w:pPr>
      <w:bookmarkStart w:id="49" w:name="_Toc90880566"/>
      <w:bookmarkStart w:id="50" w:name="_Toc25245"/>
      <w:bookmarkStart w:id="51" w:name="_Toc23150"/>
      <w:bookmarkStart w:id="52" w:name="_Toc25784"/>
      <w:bookmarkStart w:id="53" w:name="_Toc24614"/>
      <w:bookmarkStart w:id="54" w:name="_Toc73888734"/>
      <w:bookmarkStart w:id="55" w:name="_Toc25399"/>
      <w:r>
        <w:rPr>
          <w:rFonts w:hint="eastAsia" w:ascii="仿宋_GB2312" w:eastAsia="仿宋_GB2312"/>
          <w:b/>
          <w:sz w:val="32"/>
        </w:rPr>
        <w:t>三、推动军民深度融合发展</w:t>
      </w:r>
      <w:bookmarkEnd w:id="49"/>
      <w:bookmarkEnd w:id="50"/>
      <w:bookmarkEnd w:id="51"/>
      <w:bookmarkEnd w:id="52"/>
      <w:bookmarkEnd w:id="53"/>
      <w:bookmarkEnd w:id="54"/>
      <w:bookmarkEnd w:id="55"/>
    </w:p>
    <w:p>
      <w:pPr>
        <w:ind w:firstLine="640" w:firstLineChars="200"/>
        <w:rPr>
          <w:rFonts w:ascii="仿宋_GB2312" w:eastAsia="仿宋_GB2312"/>
          <w:sz w:val="32"/>
        </w:rPr>
      </w:pPr>
      <w:r>
        <w:rPr>
          <w:rFonts w:hint="eastAsia" w:ascii="仿宋_GB2312" w:eastAsia="仿宋_GB2312"/>
          <w:sz w:val="32"/>
        </w:rPr>
        <w:t>贯彻军民融合发展战略，深入推进军粮供应军民融合发展，加快推进军粮供应体系转型升级；服务国防和军队建设，切实履行军粮供应保障职责；融入国防动员体系，着力提升粮油食品经济动员能力。</w:t>
      </w:r>
    </w:p>
    <w:p>
      <w:pPr>
        <w:ind w:firstLine="640" w:firstLineChars="200"/>
        <w:rPr>
          <w:rFonts w:ascii="仿宋_GB2312" w:eastAsia="仿宋_GB2312"/>
          <w:sz w:val="32"/>
        </w:rPr>
      </w:pPr>
      <w:r>
        <w:rPr>
          <w:rFonts w:hint="eastAsia" w:ascii="仿宋_GB2312" w:eastAsia="仿宋_GB2312"/>
          <w:sz w:val="32"/>
        </w:rPr>
        <w:t>提升军粮供应保障能力，强化军粮应急体系建设，不断拓宽军粮供应与军事后勤融合渠道、丰富融合内容、提高融合层次，推进由局部融合、零散融合向源头融合、系统融合迈进，真正使社会资源为军事后勤所用，努力开创军粮供应军民融合发展新格局。推动本地军粮供应品牌创建和发展，开启“军供站</w:t>
      </w:r>
      <w:r>
        <w:rPr>
          <w:rFonts w:ascii="仿宋_GB2312" w:eastAsia="仿宋_GB2312"/>
          <w:sz w:val="32"/>
        </w:rPr>
        <w:t>+社区”“军供站+超市”“军供站+电商”等新模式，把放心粮油供到社区、机关、学校、企业</w:t>
      </w:r>
      <w:r>
        <w:rPr>
          <w:rFonts w:hint="eastAsia" w:ascii="仿宋_GB2312" w:eastAsia="仿宋_GB2312"/>
          <w:sz w:val="32"/>
        </w:rPr>
        <w:t>，擦亮“军”字金招牌。</w:t>
      </w:r>
    </w:p>
    <w:p>
      <w:pPr>
        <w:ind w:firstLine="640" w:firstLineChars="200"/>
        <w:rPr>
          <w:rFonts w:ascii="仿宋_GB2312" w:eastAsia="仿宋_GB2312"/>
          <w:sz w:val="32"/>
        </w:rPr>
      </w:pPr>
      <w:r>
        <w:rPr>
          <w:rFonts w:hint="eastAsia" w:ascii="仿宋_GB2312" w:eastAsia="仿宋_GB2312"/>
          <w:sz w:val="32"/>
        </w:rPr>
        <w:t>加强与中国人民解放军桂林联勤保障中心等驻桂林部队的联系，完善军粮统筹采购机制，由单纯的部队政策性供应向军民融合的市场化、品牌化、产业化供应转变，实现军粮进军营、进学校、进社区、进企业、进餐饮的全方位覆盖，切实保障军粮供应。</w:t>
      </w:r>
    </w:p>
    <w:p>
      <w:pPr>
        <w:pStyle w:val="11"/>
        <w:spacing w:before="0" w:beforeAutospacing="0" w:after="0" w:afterAutospacing="0"/>
        <w:ind w:firstLine="640"/>
        <w:jc w:val="both"/>
        <w:rPr>
          <w:rFonts w:ascii="Times New Roman" w:hAnsi="Times New Roman" w:eastAsia="仿宋_GB2312" w:cs="仿宋_GB2312"/>
          <w:sz w:val="32"/>
          <w:szCs w:val="32"/>
        </w:rPr>
      </w:pPr>
    </w:p>
    <w:p>
      <w:pPr>
        <w:ind w:firstLine="640" w:firstLineChars="200"/>
        <w:rPr>
          <w:rFonts w:ascii="仿宋_GB2312" w:eastAsia="仿宋_GB2312"/>
          <w:sz w:val="32"/>
        </w:rPr>
      </w:pPr>
    </w:p>
    <w:p>
      <w:pPr>
        <w:ind w:firstLine="640" w:firstLineChars="200"/>
        <w:rPr>
          <w:rFonts w:ascii="仿宋_GB2312" w:eastAsia="仿宋_GB2312"/>
          <w:sz w:val="32"/>
        </w:rPr>
      </w:pPr>
    </w:p>
    <w:p>
      <w:pPr>
        <w:rPr>
          <w:rFonts w:ascii="仿宋_GB2312" w:eastAsia="仿宋_GB2312"/>
          <w:b/>
          <w:sz w:val="36"/>
          <w:szCs w:val="20"/>
        </w:rPr>
      </w:pPr>
      <w:r>
        <w:rPr>
          <w:rFonts w:ascii="仿宋_GB2312" w:eastAsia="仿宋_GB2312"/>
          <w:b/>
          <w:sz w:val="36"/>
          <w:szCs w:val="20"/>
        </w:rPr>
        <w:br w:type="page"/>
      </w:r>
    </w:p>
    <w:p>
      <w:pPr>
        <w:snapToGrid w:val="0"/>
        <w:spacing w:before="312" w:beforeLines="100" w:after="312" w:afterLines="100" w:line="360" w:lineRule="auto"/>
        <w:jc w:val="center"/>
        <w:outlineLvl w:val="0"/>
        <w:rPr>
          <w:rFonts w:ascii="仿宋_GB2312" w:eastAsia="仿宋_GB2312"/>
          <w:b/>
          <w:sz w:val="36"/>
          <w:szCs w:val="20"/>
        </w:rPr>
      </w:pPr>
      <w:bookmarkStart w:id="56" w:name="_Toc90880567"/>
      <w:r>
        <w:rPr>
          <w:rFonts w:hint="eastAsia" w:ascii="仿宋_GB2312" w:eastAsia="仿宋_GB2312"/>
          <w:b/>
          <w:sz w:val="36"/>
          <w:szCs w:val="20"/>
        </w:rPr>
        <w:t xml:space="preserve">第八章 </w:t>
      </w:r>
      <w:bookmarkStart w:id="57" w:name="_Hlk57336424"/>
      <w:r>
        <w:rPr>
          <w:rFonts w:hint="eastAsia" w:ascii="仿宋_GB2312" w:eastAsia="仿宋_GB2312"/>
          <w:b/>
          <w:sz w:val="36"/>
          <w:szCs w:val="20"/>
        </w:rPr>
        <w:t>加强物资储备保障建设</w:t>
      </w:r>
      <w:bookmarkEnd w:id="56"/>
      <w:bookmarkEnd w:id="57"/>
    </w:p>
    <w:p>
      <w:pPr>
        <w:outlineLvl w:val="1"/>
        <w:rPr>
          <w:rFonts w:ascii="仿宋_GB2312" w:eastAsia="仿宋_GB2312"/>
          <w:b/>
          <w:sz w:val="32"/>
        </w:rPr>
      </w:pPr>
      <w:bookmarkStart w:id="58" w:name="_Toc90880568"/>
      <w:r>
        <w:rPr>
          <w:rFonts w:hint="eastAsia" w:ascii="仿宋_GB2312" w:eastAsia="仿宋_GB2312"/>
          <w:b/>
          <w:sz w:val="32"/>
        </w:rPr>
        <w:t>一</w:t>
      </w:r>
      <w:r>
        <w:rPr>
          <w:rFonts w:ascii="仿宋_GB2312" w:eastAsia="仿宋_GB2312"/>
          <w:b/>
          <w:sz w:val="32"/>
        </w:rPr>
        <w:t>、建</w:t>
      </w:r>
      <w:r>
        <w:rPr>
          <w:rFonts w:hint="eastAsia" w:ascii="仿宋_GB2312" w:eastAsia="仿宋_GB2312"/>
          <w:b/>
          <w:sz w:val="32"/>
        </w:rPr>
        <w:t>立健全</w:t>
      </w:r>
      <w:r>
        <w:rPr>
          <w:rFonts w:ascii="仿宋_GB2312" w:eastAsia="仿宋_GB2312"/>
          <w:b/>
          <w:sz w:val="32"/>
        </w:rPr>
        <w:t>物资</w:t>
      </w:r>
      <w:r>
        <w:rPr>
          <w:rFonts w:hint="eastAsia" w:ascii="仿宋_GB2312" w:eastAsia="仿宋_GB2312"/>
          <w:b/>
          <w:sz w:val="32"/>
        </w:rPr>
        <w:t>储备</w:t>
      </w:r>
      <w:r>
        <w:rPr>
          <w:rFonts w:ascii="仿宋_GB2312" w:eastAsia="仿宋_GB2312"/>
          <w:b/>
          <w:sz w:val="32"/>
        </w:rPr>
        <w:t>网络体系</w:t>
      </w:r>
      <w:bookmarkEnd w:id="58"/>
    </w:p>
    <w:p>
      <w:pPr>
        <w:ind w:firstLine="640" w:firstLineChars="200"/>
        <w:rPr>
          <w:rFonts w:ascii="仿宋_GB2312" w:eastAsia="仿宋_GB2312"/>
          <w:sz w:val="32"/>
        </w:rPr>
      </w:pPr>
      <w:r>
        <w:rPr>
          <w:rFonts w:ascii="仿宋_GB2312" w:eastAsia="仿宋_GB2312"/>
          <w:sz w:val="32"/>
        </w:rPr>
        <w:t>立足大储备、大统筹，</w:t>
      </w:r>
      <w:r>
        <w:rPr>
          <w:rFonts w:hint="eastAsia" w:ascii="仿宋_GB2312" w:eastAsia="仿宋_GB2312"/>
          <w:sz w:val="32"/>
        </w:rPr>
        <w:t>加快建立政府综合性储备、企业社会责任储备、商业周转储备、城乡居民家庭储备互为补充、有机融合的多元化、多层次物资储备新格局。依法推进企业社会责任储备、生产能力储备的统筹管理，建立实物储备、协议储备、能力储备相结合的物资储备管理方式，提升物资储备应急保障社会参与度。加大产能储备、技术储备、信息储备等新型物资储备方式的探索和应用。</w:t>
      </w:r>
    </w:p>
    <w:p>
      <w:pPr>
        <w:ind w:firstLine="640" w:firstLineChars="200"/>
        <w:rPr>
          <w:rFonts w:ascii="仿宋_GB2312" w:eastAsia="仿宋_GB2312"/>
          <w:sz w:val="32"/>
        </w:rPr>
      </w:pPr>
      <w:r>
        <w:rPr>
          <w:rFonts w:ascii="仿宋_GB2312" w:eastAsia="仿宋_GB2312"/>
          <w:sz w:val="32"/>
        </w:rPr>
        <w:t>强化物资储备的集中管理和统筹协调，完善物资储备体系分工协同机制，建立市、县 （区、市）分级负责、分级储备、分级管理、属地为主、区域统筹、协同保障的物资储备体制。统一归口统计全市物资储备品种、数量、存储库点等，建立全市物资储备一个平台、一本账，</w:t>
      </w:r>
      <w:r>
        <w:rPr>
          <w:rFonts w:hint="eastAsia" w:ascii="仿宋_GB2312" w:eastAsia="仿宋_GB2312"/>
          <w:sz w:val="32"/>
        </w:rPr>
        <w:t>推动区</w:t>
      </w:r>
      <w:r>
        <w:rPr>
          <w:rFonts w:ascii="仿宋_GB2312" w:eastAsia="仿宋_GB2312"/>
          <w:sz w:val="32"/>
        </w:rPr>
        <w:t>域合作，提升物资储备效能。</w:t>
      </w:r>
    </w:p>
    <w:p>
      <w:pPr>
        <w:ind w:firstLine="640" w:firstLineChars="200"/>
        <w:rPr>
          <w:rFonts w:ascii="仿宋_GB2312" w:eastAsia="仿宋_GB2312"/>
          <w:sz w:val="32"/>
        </w:rPr>
      </w:pPr>
    </w:p>
    <w:p>
      <w:pPr>
        <w:outlineLvl w:val="1"/>
        <w:rPr>
          <w:rFonts w:ascii="仿宋_GB2312" w:eastAsia="仿宋_GB2312"/>
          <w:b/>
          <w:sz w:val="32"/>
        </w:rPr>
      </w:pPr>
      <w:bookmarkStart w:id="59" w:name="_Toc90880569"/>
      <w:r>
        <w:rPr>
          <w:rFonts w:hint="eastAsia" w:ascii="仿宋_GB2312" w:eastAsia="仿宋_GB2312"/>
          <w:b/>
          <w:sz w:val="32"/>
        </w:rPr>
        <w:t>二</w:t>
      </w:r>
      <w:r>
        <w:rPr>
          <w:rFonts w:ascii="仿宋_GB2312" w:eastAsia="仿宋_GB2312"/>
          <w:b/>
          <w:sz w:val="32"/>
        </w:rPr>
        <w:t>、科学</w:t>
      </w:r>
      <w:r>
        <w:rPr>
          <w:rFonts w:hint="eastAsia" w:ascii="仿宋_GB2312" w:eastAsia="仿宋_GB2312"/>
          <w:b/>
          <w:sz w:val="32"/>
        </w:rPr>
        <w:t>落实</w:t>
      </w:r>
      <w:r>
        <w:rPr>
          <w:rFonts w:ascii="仿宋_GB2312" w:eastAsia="仿宋_GB2312"/>
          <w:b/>
          <w:sz w:val="32"/>
        </w:rPr>
        <w:t>市县物资储备</w:t>
      </w:r>
      <w:r>
        <w:rPr>
          <w:rFonts w:hint="eastAsia" w:ascii="仿宋_GB2312" w:eastAsia="仿宋_GB2312"/>
          <w:b/>
          <w:sz w:val="32"/>
        </w:rPr>
        <w:t>规模</w:t>
      </w:r>
      <w:bookmarkEnd w:id="59"/>
    </w:p>
    <w:p>
      <w:pPr>
        <w:ind w:firstLine="640" w:firstLineChars="200"/>
        <w:rPr>
          <w:rFonts w:ascii="仿宋_GB2312" w:eastAsia="仿宋_GB2312"/>
          <w:sz w:val="32"/>
        </w:rPr>
      </w:pPr>
      <w:r>
        <w:rPr>
          <w:rFonts w:hint="eastAsia" w:ascii="仿宋_GB2312" w:eastAsia="仿宋_GB2312"/>
          <w:sz w:val="32"/>
        </w:rPr>
        <w:t>按照桂林市、县（市、区）总体应急预案落实应急救灾储备总量，并兼顾其他类应急物资储备</w:t>
      </w:r>
      <w:r>
        <w:rPr>
          <w:rFonts w:hint="eastAsia" w:ascii="仿宋" w:hAnsi="仿宋" w:eastAsia="仿宋" w:cs="Calibri"/>
          <w:sz w:val="32"/>
          <w:szCs w:val="32"/>
        </w:rPr>
        <w:t>，进一步完善生活必需品储备、冻猪肉（生猪）储备制度</w:t>
      </w:r>
      <w:r>
        <w:rPr>
          <w:rFonts w:hint="eastAsia" w:ascii="仿宋_GB2312" w:eastAsia="仿宋_GB2312"/>
          <w:sz w:val="32"/>
        </w:rPr>
        <w:t>。市级储备总量至少满足</w:t>
      </w:r>
      <w:r>
        <w:rPr>
          <w:rFonts w:ascii="仿宋_GB2312" w:eastAsia="仿宋_GB2312"/>
          <w:sz w:val="32"/>
        </w:rPr>
        <w:t>1</w:t>
      </w:r>
      <w:r>
        <w:rPr>
          <w:rFonts w:hint="eastAsia" w:ascii="仿宋_GB2312" w:eastAsia="仿宋_GB2312"/>
          <w:sz w:val="32"/>
        </w:rPr>
        <w:t>个县（区、市）的应急抢险救援和受灾群众安置需要，县区级储备总量至少满足</w:t>
      </w:r>
      <w:r>
        <w:rPr>
          <w:rFonts w:ascii="仿宋_GB2312" w:eastAsia="仿宋_GB2312"/>
          <w:sz w:val="32"/>
        </w:rPr>
        <w:t>2</w:t>
      </w:r>
      <w:r>
        <w:rPr>
          <w:rFonts w:hint="eastAsia" w:ascii="仿宋_GB2312" w:eastAsia="仿宋_GB2312"/>
          <w:sz w:val="32"/>
        </w:rPr>
        <w:t>个乡镇（街道）应急抢险救援和受灾群众安置的需要。加快推进基层应急与救灾物资储备中心建设，</w:t>
      </w:r>
      <w:r>
        <w:rPr>
          <w:rFonts w:hint="eastAsia" w:ascii="仿宋_GB2312" w:eastAsia="仿宋_GB2312"/>
          <w:sz w:val="32"/>
          <w:lang w:val="zh-TW"/>
        </w:rPr>
        <w:t>确保每个县（市、区）建立一个功能齐全、规模适中、交通便利的应急物资储备仓库，并提高救灾物资储备仓储设施设备的现代化和科学化水平。</w:t>
      </w:r>
      <w:r>
        <w:rPr>
          <w:rFonts w:hint="eastAsia" w:ascii="仿宋" w:hAnsi="仿宋" w:eastAsia="仿宋" w:cs="Calibri"/>
          <w:sz w:val="32"/>
          <w:szCs w:val="32"/>
        </w:rPr>
        <w:t>毗邻县（区、市）之间建立小区域物资储备保障协同机制，形成就近应急合力。</w:t>
      </w:r>
    </w:p>
    <w:p>
      <w:pPr>
        <w:ind w:firstLine="640" w:firstLineChars="200"/>
        <w:rPr>
          <w:rFonts w:ascii="仿宋_GB2312" w:eastAsia="仿宋_GB2312"/>
          <w:sz w:val="32"/>
        </w:rPr>
      </w:pPr>
      <w:r>
        <w:rPr>
          <w:rFonts w:hint="eastAsia" w:ascii="仿宋_GB2312" w:eastAsia="仿宋_GB2312"/>
          <w:sz w:val="32"/>
        </w:rPr>
        <w:t>优化储备物资品种规模结构，合理确定通用物资与专用物资储备品类。按照</w:t>
      </w:r>
      <w:r>
        <w:rPr>
          <w:rFonts w:ascii="仿宋_GB2312" w:eastAsia="仿宋_GB2312"/>
          <w:sz w:val="32"/>
        </w:rPr>
        <w:t>“</w:t>
      </w:r>
      <w:r>
        <w:rPr>
          <w:rFonts w:hint="eastAsia" w:ascii="仿宋_GB2312" w:eastAsia="仿宋_GB2312"/>
          <w:sz w:val="32"/>
        </w:rPr>
        <w:t>储为所用、储优适需、规模合理</w:t>
      </w:r>
      <w:r>
        <w:rPr>
          <w:rFonts w:ascii="仿宋_GB2312" w:eastAsia="仿宋_GB2312"/>
          <w:sz w:val="32"/>
        </w:rPr>
        <w:t>”</w:t>
      </w:r>
      <w:r>
        <w:rPr>
          <w:rFonts w:hint="eastAsia" w:ascii="仿宋_GB2312" w:eastAsia="仿宋_GB2312"/>
          <w:sz w:val="32"/>
        </w:rPr>
        <w:t>的原则，建立物资储备品种目录，酌情适时调整。优化应急物资储备布局，按照就近储备、调运迅速、保障有力的原则，在多灾易灾县（区、市）、乡镇（街道）分散代储，适当增加应急物资储备库点和储备规模，以满足快速应急救灾的需要。强化物资储备动态平衡，合理确定并动态调整粮食、猪肉、应急食品等大宗生活通用物资的储备规模。依照重大突发公共事件应急需要，合理确定并动态更新通用应急物资、应急救灾通用物资储备规模。</w:t>
      </w:r>
    </w:p>
    <w:p>
      <w:pPr>
        <w:ind w:firstLine="640" w:firstLineChars="200"/>
        <w:rPr>
          <w:rFonts w:ascii="仿宋_GB2312" w:eastAsia="仿宋_GB2312"/>
          <w:sz w:val="32"/>
        </w:rPr>
      </w:pPr>
    </w:p>
    <w:p>
      <w:pPr>
        <w:outlineLvl w:val="1"/>
        <w:rPr>
          <w:rFonts w:ascii="仿宋_GB2312" w:eastAsia="仿宋_GB2312"/>
          <w:b/>
          <w:sz w:val="32"/>
        </w:rPr>
      </w:pPr>
      <w:bookmarkStart w:id="60" w:name="_Toc90880570"/>
      <w:r>
        <w:rPr>
          <w:rFonts w:hint="eastAsia" w:ascii="仿宋_GB2312" w:eastAsia="仿宋_GB2312"/>
          <w:b/>
          <w:sz w:val="32"/>
        </w:rPr>
        <w:t>三</w:t>
      </w:r>
      <w:r>
        <w:rPr>
          <w:rFonts w:ascii="仿宋_GB2312" w:eastAsia="仿宋_GB2312"/>
          <w:b/>
          <w:sz w:val="32"/>
        </w:rPr>
        <w:t>、推进</w:t>
      </w:r>
      <w:r>
        <w:rPr>
          <w:rFonts w:hint="eastAsia" w:ascii="仿宋_GB2312" w:eastAsia="仿宋_GB2312"/>
          <w:b/>
          <w:sz w:val="32"/>
        </w:rPr>
        <w:t>完善</w:t>
      </w:r>
      <w:r>
        <w:rPr>
          <w:rFonts w:ascii="仿宋_GB2312" w:eastAsia="仿宋_GB2312"/>
          <w:b/>
          <w:sz w:val="32"/>
        </w:rPr>
        <w:t>物资储备联动</w:t>
      </w:r>
      <w:r>
        <w:rPr>
          <w:rFonts w:hint="eastAsia" w:ascii="仿宋_GB2312" w:eastAsia="仿宋_GB2312"/>
          <w:b/>
          <w:sz w:val="32"/>
        </w:rPr>
        <w:t>机制</w:t>
      </w:r>
      <w:bookmarkEnd w:id="60"/>
    </w:p>
    <w:p>
      <w:pPr>
        <w:ind w:firstLine="640" w:firstLineChars="200"/>
        <w:rPr>
          <w:rFonts w:ascii="仿宋_GB2312" w:eastAsia="仿宋_GB2312"/>
          <w:sz w:val="32"/>
        </w:rPr>
      </w:pPr>
      <w:r>
        <w:rPr>
          <w:rFonts w:hint="eastAsia" w:ascii="仿宋_GB2312" w:eastAsia="仿宋_GB2312"/>
          <w:sz w:val="32"/>
        </w:rPr>
        <w:t>继续深化物资储备领域改革，建立健全物资储备责任制，明确物资储备部门职能职责，进一步厘清市、县物资储备管理关系，落实市、县（区、市）物资储备体系建设主体责任。提升物资储备综合协调能力，强化部门分工协同，积极与财政、民政、应急、交通、工信、医保、市场监管等部门协作，探索建立全市物资储备调拨联动机制。</w:t>
      </w:r>
    </w:p>
    <w:p>
      <w:pPr>
        <w:ind w:firstLine="640" w:firstLineChars="200"/>
        <w:rPr>
          <w:rFonts w:ascii="仿宋_GB2312" w:eastAsia="仿宋_GB2312"/>
          <w:sz w:val="32"/>
        </w:rPr>
      </w:pPr>
      <w:r>
        <w:rPr>
          <w:rFonts w:hint="eastAsia" w:ascii="仿宋_GB2312" w:eastAsia="仿宋_GB2312"/>
          <w:sz w:val="32"/>
        </w:rPr>
        <w:t>建立健全粮食和物资基础设施统筹利用机制，健全完善精准高效的收储轮换机制，提高物资储备清单确定、市场采购、资金拨结、登记入库、在库保管、日常轮换、出库调用、物流配送、现场发放、循环回收、报废处理等全流程管理与监督水平。形成互联互通、高效便捷的物资储备调度指挥系统，构建全社会参与的物资储备调运物流系统，构筑军警民融合式物资储备调运体系。</w:t>
      </w:r>
    </w:p>
    <w:p>
      <w:pPr>
        <w:ind w:firstLine="640" w:firstLineChars="200"/>
        <w:rPr>
          <w:rFonts w:ascii="仿宋_GB2312" w:eastAsia="仿宋_GB2312"/>
          <w:sz w:val="32"/>
        </w:rPr>
      </w:pPr>
    </w:p>
    <w:p>
      <w:pPr>
        <w:outlineLvl w:val="1"/>
        <w:rPr>
          <w:rFonts w:ascii="仿宋_GB2312" w:eastAsia="仿宋_GB2312"/>
          <w:b/>
          <w:sz w:val="32"/>
        </w:rPr>
      </w:pPr>
      <w:bookmarkStart w:id="61" w:name="_Toc90880571"/>
      <w:r>
        <w:rPr>
          <w:rFonts w:hint="eastAsia" w:ascii="仿宋_GB2312" w:eastAsia="仿宋_GB2312"/>
          <w:b/>
          <w:sz w:val="32"/>
        </w:rPr>
        <w:t>四</w:t>
      </w:r>
      <w:r>
        <w:rPr>
          <w:rFonts w:ascii="仿宋_GB2312" w:eastAsia="仿宋_GB2312"/>
          <w:b/>
          <w:sz w:val="32"/>
        </w:rPr>
        <w:t>、搭建高效物资储备信息平台</w:t>
      </w:r>
      <w:bookmarkEnd w:id="61"/>
    </w:p>
    <w:p>
      <w:pPr>
        <w:ind w:firstLine="640" w:firstLineChars="200"/>
        <w:rPr>
          <w:rFonts w:ascii="仿宋_GB2312" w:eastAsia="仿宋_GB2312"/>
          <w:sz w:val="32"/>
        </w:rPr>
      </w:pPr>
      <w:r>
        <w:rPr>
          <w:rFonts w:hint="eastAsia" w:ascii="仿宋_GB2312" w:eastAsia="仿宋_GB2312"/>
          <w:sz w:val="32"/>
        </w:rPr>
        <w:t>完善物资仓储软硬件配套设施，合理配备多层货架、组合托盘、自动装卸与传送、叉车等基础设施，积极运用物联网、大数据分析、云计算等技术，推进物资储备与调度云平台建设，提升物资储备信息化管理水平。</w:t>
      </w:r>
    </w:p>
    <w:p>
      <w:pPr>
        <w:ind w:firstLine="640" w:firstLineChars="200"/>
        <w:rPr>
          <w:rFonts w:ascii="仿宋_GB2312" w:eastAsia="仿宋_GB2312"/>
          <w:sz w:val="32"/>
        </w:rPr>
      </w:pPr>
      <w:r>
        <w:rPr>
          <w:rFonts w:hint="eastAsia" w:ascii="仿宋_GB2312" w:eastAsia="仿宋_GB2312"/>
          <w:sz w:val="32"/>
        </w:rPr>
        <w:t>完善救灾物资储备数字化平台，加快推进储备管理业务规范化和数据标准化，提升仓储作业自动化和智能化水平，突出储备物资数量、质量和安全管理，实现账、卡、表、簿电子化和业务网上办理，提升数据采集、处理、传输、共享、存储、发布等信息化应用水平。</w:t>
      </w:r>
    </w:p>
    <w:p>
      <w:pPr>
        <w:ind w:firstLine="640" w:firstLineChars="200"/>
        <w:rPr>
          <w:rFonts w:ascii="仿宋_GB2312" w:eastAsia="仿宋_GB2312"/>
          <w:sz w:val="32"/>
        </w:rPr>
      </w:pPr>
      <w:r>
        <w:rPr>
          <w:rFonts w:hint="eastAsia" w:ascii="仿宋_GB2312" w:eastAsia="仿宋_GB2312"/>
          <w:sz w:val="32"/>
        </w:rPr>
        <w:t>完善储备信息统计体系，利用数据安全中心和视频监控系统，动态显示储备布局、数量、品种、性质、质量、年限、来源、流向等情况，实时连线承储企业和库点，实现监管全覆盖、业务全知道、现场能看到。</w:t>
      </w:r>
    </w:p>
    <w:p>
      <w:pPr>
        <w:ind w:firstLine="640" w:firstLineChars="200"/>
        <w:rPr>
          <w:rFonts w:ascii="仿宋_GB2312" w:eastAsia="仿宋_GB2312"/>
          <w:sz w:val="32"/>
        </w:rPr>
      </w:pPr>
      <w:r>
        <w:rPr>
          <w:rFonts w:hint="eastAsia" w:ascii="仿宋_GB2312" w:eastAsia="仿宋_GB2312"/>
          <w:sz w:val="32"/>
        </w:rPr>
        <w:t>强化储备物资数量、质量和安全监管，加大库存数量在线监测技术的应用，争取实现业务自动监控和违规自动报警，提高库存动态监管的准确性和实时性。</w:t>
      </w:r>
    </w:p>
    <w:p>
      <w:pPr>
        <w:ind w:firstLine="640" w:firstLineChars="200"/>
        <w:rPr>
          <w:rFonts w:ascii="仿宋_GB2312" w:eastAsia="仿宋_GB2312"/>
          <w:sz w:val="32"/>
        </w:rPr>
      </w:pPr>
    </w:p>
    <w:p>
      <w:pPr>
        <w:outlineLvl w:val="1"/>
        <w:rPr>
          <w:rFonts w:ascii="仿宋_GB2312" w:eastAsia="仿宋_GB2312"/>
          <w:b/>
          <w:sz w:val="32"/>
        </w:rPr>
      </w:pPr>
      <w:bookmarkStart w:id="62" w:name="_Toc90880572"/>
      <w:r>
        <w:rPr>
          <w:rFonts w:hint="eastAsia" w:ascii="仿宋_GB2312" w:eastAsia="仿宋_GB2312"/>
          <w:b/>
          <w:sz w:val="32"/>
        </w:rPr>
        <w:t>五、完善应急救灾物资储备管理</w:t>
      </w:r>
      <w:bookmarkEnd w:id="62"/>
    </w:p>
    <w:p>
      <w:pPr>
        <w:ind w:firstLine="640" w:firstLineChars="200"/>
        <w:rPr>
          <w:rFonts w:ascii="仿宋_GB2312" w:eastAsia="仿宋_GB2312"/>
          <w:sz w:val="32"/>
        </w:rPr>
      </w:pPr>
      <w:r>
        <w:rPr>
          <w:rFonts w:hint="eastAsia" w:ascii="仿宋_GB2312" w:eastAsia="仿宋_GB2312"/>
          <w:sz w:val="32"/>
        </w:rPr>
        <w:t>立足大应急，按照“集中管理、统一调拨、平时服务、灾时应急、采储结合、节约高效”的原则，构建具有桂林市特色的市－县（区、市）－乡（镇）三级应急物资储备网络体系，完善以政府储备为主、社会储备为辅的应急物资储备机制。</w:t>
      </w:r>
    </w:p>
    <w:p>
      <w:pPr>
        <w:ind w:firstLine="640" w:firstLineChars="200"/>
        <w:rPr>
          <w:rFonts w:ascii="仿宋_GB2312" w:eastAsia="仿宋_GB2312"/>
          <w:sz w:val="32"/>
        </w:rPr>
      </w:pPr>
      <w:r>
        <w:rPr>
          <w:rFonts w:hint="eastAsia" w:ascii="仿宋_GB2312" w:eastAsia="仿宋_GB2312"/>
          <w:sz w:val="32"/>
        </w:rPr>
        <w:t>按照桂林市应急物资保障规划和应急物资储备目录和标准，增品种、扩规模、优布局、建设施、提功能，提升应急物资储备保障能力。健全救灾物资储存、管理、调拨和使用的部门联动保障机制，完善物资紧急生产、政府采购调剂使用和征用补偿等制度。</w:t>
      </w:r>
    </w:p>
    <w:p>
      <w:pPr>
        <w:ind w:firstLine="640" w:firstLineChars="200"/>
        <w:rPr>
          <w:rFonts w:ascii="仿宋" w:hAnsi="仿宋" w:eastAsia="仿宋" w:cs="Calibri"/>
          <w:sz w:val="32"/>
          <w:szCs w:val="32"/>
        </w:rPr>
      </w:pPr>
      <w:r>
        <w:rPr>
          <w:rFonts w:ascii="仿宋_GB2312" w:eastAsia="仿宋_GB2312"/>
          <w:sz w:val="32"/>
        </w:rPr>
        <w:t>形成横向协同、纵向联动的重大突发事件应对合力，提高应急救灾</w:t>
      </w:r>
      <w:r>
        <w:rPr>
          <w:rFonts w:hint="eastAsia" w:ascii="仿宋_GB2312" w:eastAsia="仿宋_GB2312"/>
          <w:sz w:val="32"/>
        </w:rPr>
        <w:t>保障效率。积极融入广西应</w:t>
      </w:r>
      <w:r>
        <w:rPr>
          <w:rFonts w:ascii="仿宋_GB2312" w:eastAsia="仿宋_GB2312"/>
          <w:sz w:val="32"/>
        </w:rPr>
        <w:t>急救灾物资储备保障一体化高质量发展进程，逐步建立规划对接、平台共建、信息互通、资源共享、应急共保的长效机制。加强应急储备风险防范的协同保障，</w:t>
      </w:r>
      <w:r>
        <w:rPr>
          <w:rFonts w:hint="eastAsia" w:ascii="仿宋" w:hAnsi="仿宋" w:eastAsia="仿宋" w:cs="Calibri"/>
          <w:sz w:val="32"/>
          <w:szCs w:val="32"/>
        </w:rPr>
        <w:t>根据应急供应、储运等应急救灾需求，选取契合度高、产能充沛、信誉良好的企业作为辖区内应急物资保供点。</w:t>
      </w:r>
    </w:p>
    <w:p>
      <w:pPr>
        <w:ind w:firstLine="640" w:firstLineChars="200"/>
        <w:rPr>
          <w:rFonts w:ascii="仿宋_GB2312" w:eastAsia="仿宋_GB2312"/>
          <w:sz w:val="32"/>
        </w:rPr>
      </w:pPr>
    </w:p>
    <w:p>
      <w:pPr>
        <w:ind w:firstLine="723" w:firstLineChars="200"/>
        <w:rPr>
          <w:rFonts w:ascii="仿宋_GB2312" w:eastAsia="仿宋_GB2312"/>
          <w:b/>
          <w:sz w:val="36"/>
          <w:szCs w:val="20"/>
        </w:rPr>
      </w:pPr>
      <w:r>
        <w:rPr>
          <w:rFonts w:ascii="仿宋_GB2312" w:eastAsia="仿宋_GB2312"/>
          <w:b/>
          <w:sz w:val="36"/>
          <w:szCs w:val="20"/>
        </w:rPr>
        <w:br w:type="page"/>
      </w:r>
    </w:p>
    <w:p>
      <w:pPr>
        <w:snapToGrid w:val="0"/>
        <w:spacing w:before="312" w:beforeLines="100" w:after="312" w:afterLines="100" w:line="360" w:lineRule="auto"/>
        <w:jc w:val="center"/>
        <w:outlineLvl w:val="0"/>
        <w:rPr>
          <w:rFonts w:ascii="仿宋_GB2312" w:eastAsia="仿宋_GB2312"/>
          <w:b/>
          <w:sz w:val="36"/>
          <w:szCs w:val="20"/>
        </w:rPr>
      </w:pPr>
      <w:bookmarkStart w:id="63" w:name="_Toc90880573"/>
      <w:r>
        <w:rPr>
          <w:rFonts w:ascii="仿宋_GB2312" w:eastAsia="仿宋_GB2312"/>
          <w:b/>
          <w:sz w:val="36"/>
          <w:szCs w:val="20"/>
        </w:rPr>
        <w:t>第九章</w:t>
      </w:r>
      <w:r>
        <w:rPr>
          <w:rFonts w:hint="eastAsia" w:ascii="仿宋_GB2312" w:eastAsia="仿宋_GB2312"/>
          <w:b/>
          <w:sz w:val="36"/>
          <w:szCs w:val="20"/>
        </w:rPr>
        <w:t xml:space="preserve"> 推进治理能力现代化建设</w:t>
      </w:r>
      <w:bookmarkEnd w:id="63"/>
    </w:p>
    <w:p>
      <w:pPr>
        <w:outlineLvl w:val="1"/>
        <w:rPr>
          <w:rFonts w:ascii="仿宋_GB2312" w:eastAsia="仿宋_GB2312"/>
          <w:b/>
          <w:sz w:val="32"/>
        </w:rPr>
      </w:pPr>
      <w:bookmarkStart w:id="64" w:name="_Toc90880574"/>
      <w:r>
        <w:rPr>
          <w:rFonts w:hint="eastAsia" w:ascii="仿宋_GB2312" w:eastAsia="仿宋_GB2312"/>
          <w:b/>
          <w:sz w:val="32"/>
        </w:rPr>
        <w:t>一、</w:t>
      </w:r>
      <w:r>
        <w:rPr>
          <w:rFonts w:ascii="仿宋_GB2312" w:eastAsia="仿宋_GB2312"/>
          <w:b/>
          <w:sz w:val="32"/>
        </w:rPr>
        <w:t>着力健全完善体制机制</w:t>
      </w:r>
      <w:bookmarkEnd w:id="64"/>
    </w:p>
    <w:p>
      <w:pPr>
        <w:ind w:firstLine="640" w:firstLineChars="200"/>
        <w:rPr>
          <w:rFonts w:ascii="仿宋_GB2312" w:eastAsia="仿宋_GB2312"/>
          <w:sz w:val="32"/>
        </w:rPr>
      </w:pPr>
      <w:r>
        <w:rPr>
          <w:rFonts w:hint="eastAsia" w:ascii="仿宋_GB2312" w:eastAsia="仿宋_GB2312"/>
          <w:sz w:val="32"/>
        </w:rPr>
        <w:t>坚持以深化改革为动力，积极推动粮食供给侧结构性改革、粮食和物资储备管理体制机制改革，围绕构建统一的国家粮食和物资储备体系，加强融合、有序衔接。持续深化“放管服”改革，更多采用规划引领、标准倒逼、宏观调控、执法监管等方式，促进粮食和物资储备行业有序发展。加快国有粮食企业改革步伐，着力改变国有粮食企业单一经营发展模式，提升国有粮食企业市场竞争力。引导国有粮食购销企业通过土地流转、控股、参股等形式，加强与新型粮食生产经营主体对接，建立产业联盟。</w:t>
      </w:r>
    </w:p>
    <w:p>
      <w:pPr>
        <w:ind w:firstLine="640" w:firstLineChars="200"/>
        <w:rPr>
          <w:rFonts w:ascii="仿宋_GB2312" w:eastAsia="仿宋_GB2312"/>
          <w:sz w:val="32"/>
        </w:rPr>
      </w:pPr>
      <w:r>
        <w:rPr>
          <w:rFonts w:hint="eastAsia" w:ascii="仿宋_GB2312" w:eastAsia="仿宋_GB2312"/>
          <w:sz w:val="32"/>
        </w:rPr>
        <w:t>以治理体系和治理能力现代化为导向，聚焦国家粮食安全和物资储备管理核心职能，做好粮食安全责任制和地方储备管理“两个考核”，完善考核实施细则，不断增强考核的针对性、导向性、实效性。建立健全目标责任分解落实和考核机制，强化结果运用和问题整改，增强政府履行粮食安全责任意识，压实政府“米袋子”责任，消除隐患、堵塞漏洞，推动形成各级各方面保障国家粮食安全和物资储备安全的强大合力。</w:t>
      </w:r>
    </w:p>
    <w:p>
      <w:pPr>
        <w:ind w:firstLine="640" w:firstLineChars="200"/>
        <w:rPr>
          <w:rFonts w:ascii="仿宋_GB2312" w:eastAsia="仿宋_GB2312"/>
          <w:sz w:val="32"/>
        </w:rPr>
      </w:pPr>
    </w:p>
    <w:p>
      <w:pPr>
        <w:outlineLvl w:val="1"/>
        <w:rPr>
          <w:rFonts w:ascii="仿宋_GB2312" w:eastAsia="仿宋_GB2312"/>
          <w:b/>
          <w:sz w:val="32"/>
        </w:rPr>
      </w:pPr>
      <w:bookmarkStart w:id="65" w:name="_Toc90880575"/>
      <w:r>
        <w:rPr>
          <w:rFonts w:hint="eastAsia" w:ascii="仿宋_GB2312" w:eastAsia="仿宋_GB2312"/>
          <w:b/>
          <w:sz w:val="32"/>
        </w:rPr>
        <w:t>二、全面推进依法管粮管储</w:t>
      </w:r>
      <w:bookmarkEnd w:id="65"/>
    </w:p>
    <w:p>
      <w:pPr>
        <w:ind w:firstLine="640" w:firstLineChars="200"/>
        <w:rPr>
          <w:rFonts w:ascii="仿宋_GB2312" w:eastAsia="仿宋_GB2312"/>
          <w:sz w:val="32"/>
        </w:rPr>
      </w:pPr>
      <w:r>
        <w:rPr>
          <w:rFonts w:hint="eastAsia" w:ascii="仿宋_GB2312" w:eastAsia="仿宋_GB2312"/>
          <w:sz w:val="32"/>
        </w:rPr>
        <w:t>深入推进学法用法制度落实，加大粮食和物资储备行业相关法律法规学习普及力度，将常态化普法纳入到粮食执法工作始终，增强粮食经营者守法诚信意识，，提高依法管粮、依法管储水平。响应《粮食安全保障法》和《粮食流通管理条例》等重点法规，修订完善地方储备粮管理办法、市级储备粮轮换管理办法等制度，</w:t>
      </w:r>
      <w:r>
        <w:rPr>
          <w:rFonts w:ascii="仿宋_GB2312" w:eastAsia="仿宋_GB2312"/>
          <w:sz w:val="32"/>
        </w:rPr>
        <w:t>建立相对完善的</w:t>
      </w:r>
      <w:r>
        <w:rPr>
          <w:rFonts w:hint="eastAsia" w:ascii="仿宋_GB2312" w:eastAsia="仿宋_GB2312"/>
          <w:sz w:val="32"/>
        </w:rPr>
        <w:t>粮食管理</w:t>
      </w:r>
      <w:r>
        <w:rPr>
          <w:rFonts w:ascii="仿宋_GB2312" w:eastAsia="仿宋_GB2312"/>
          <w:sz w:val="32"/>
        </w:rPr>
        <w:t>规章制度体系。</w:t>
      </w:r>
      <w:r>
        <w:rPr>
          <w:rFonts w:hint="eastAsia" w:ascii="仿宋_GB2312" w:eastAsia="仿宋_GB2312"/>
          <w:sz w:val="32"/>
        </w:rPr>
        <w:t>出台应急物资储备管理调用办法，健全物资储备制度体系，出台一批物资储备操作规程及技术规范，做到有标可循、有规可依。</w:t>
      </w:r>
    </w:p>
    <w:p>
      <w:pPr>
        <w:ind w:firstLine="640" w:firstLineChars="200"/>
        <w:rPr>
          <w:rFonts w:ascii="仿宋_GB2312" w:eastAsia="仿宋_GB2312"/>
          <w:sz w:val="32"/>
        </w:rPr>
      </w:pPr>
      <w:r>
        <w:rPr>
          <w:rFonts w:hint="eastAsia" w:ascii="仿宋_GB2312" w:eastAsia="仿宋_GB2312"/>
          <w:sz w:val="32"/>
        </w:rPr>
        <w:t>依托一体化在线政务服务平台和在线监管平台，构建全覆盖的监管体系和全闭环的网上行政执法体系。加强基层行政执法队伍建设，落实粮食行政执法人员，配套完善执法装备，加强执法人员业务培训，加快行政执法规范化、标准化、数字化建设，全面推行行政执法公示制度、执法全过程记录制度和重大执法决定法制审核制度，深入推进“综合查一次”，深化“双随机”“部门联合”“信用</w:t>
      </w:r>
      <w:r>
        <w:rPr>
          <w:rFonts w:ascii="仿宋_GB2312" w:eastAsia="仿宋_GB2312"/>
          <w:sz w:val="32"/>
        </w:rPr>
        <w:t>+”“互联网+”监管。</w:t>
      </w:r>
    </w:p>
    <w:p>
      <w:pPr>
        <w:ind w:firstLine="640" w:firstLineChars="200"/>
        <w:rPr>
          <w:rFonts w:ascii="仿宋_GB2312" w:eastAsia="仿宋_GB2312"/>
          <w:sz w:val="32"/>
        </w:rPr>
      </w:pPr>
      <w:r>
        <w:rPr>
          <w:rFonts w:hint="eastAsia" w:ascii="仿宋_GB2312" w:eastAsia="仿宋_GB2312"/>
          <w:sz w:val="32"/>
        </w:rPr>
        <w:t>强化日常业务与执法督查的协同监管，全面加强执法监督，</w:t>
      </w:r>
      <w:r>
        <w:rPr>
          <w:rFonts w:ascii="仿宋_GB2312" w:eastAsia="仿宋_GB2312"/>
          <w:sz w:val="32"/>
        </w:rPr>
        <w:t>加强粮食收购、储备管理、质量安全</w:t>
      </w:r>
      <w:r>
        <w:rPr>
          <w:rFonts w:hint="eastAsia" w:ascii="仿宋_GB2312" w:eastAsia="仿宋_GB2312"/>
          <w:sz w:val="32"/>
        </w:rPr>
        <w:t>、</w:t>
      </w:r>
      <w:r>
        <w:rPr>
          <w:rFonts w:ascii="仿宋_GB2312" w:eastAsia="仿宋_GB2312"/>
          <w:sz w:val="32"/>
        </w:rPr>
        <w:t>政策性粮食</w:t>
      </w:r>
      <w:r>
        <w:rPr>
          <w:rFonts w:hint="eastAsia" w:ascii="仿宋_GB2312" w:eastAsia="仿宋_GB2312"/>
          <w:sz w:val="32"/>
        </w:rPr>
        <w:t>库存和销售监管</w:t>
      </w:r>
      <w:r>
        <w:rPr>
          <w:rFonts w:ascii="仿宋_GB2312" w:eastAsia="仿宋_GB2312"/>
          <w:sz w:val="32"/>
        </w:rPr>
        <w:t>等重点领域、重要环节的监督检查，充分发挥12325监管热线作用</w:t>
      </w:r>
      <w:r>
        <w:rPr>
          <w:rFonts w:hint="eastAsia" w:ascii="仿宋_GB2312" w:eastAsia="仿宋_GB2312"/>
          <w:sz w:val="32"/>
        </w:rPr>
        <w:t>，深入开展粮食流通“亮剑”专项执法行动，依法严查涉粮涉储案件。建立健全跨地区跨部门协同监管机制，</w:t>
      </w:r>
      <w:r>
        <w:rPr>
          <w:rFonts w:ascii="仿宋_GB2312" w:eastAsia="仿宋_GB2312"/>
          <w:sz w:val="32"/>
        </w:rPr>
        <w:t>加强</w:t>
      </w:r>
      <w:r>
        <w:rPr>
          <w:rFonts w:hint="eastAsia" w:ascii="仿宋_GB2312" w:eastAsia="仿宋_GB2312"/>
          <w:sz w:val="32"/>
        </w:rPr>
        <w:t>本市及桂林周边市县粮食和物资储备部门、市场监管部门与公安部门的协调联系，</w:t>
      </w:r>
      <w:r>
        <w:rPr>
          <w:rFonts w:ascii="仿宋_GB2312" w:eastAsia="仿宋_GB2312"/>
          <w:sz w:val="32"/>
        </w:rPr>
        <w:t>严查</w:t>
      </w:r>
      <w:r>
        <w:rPr>
          <w:rFonts w:hint="eastAsia" w:ascii="仿宋_GB2312" w:eastAsia="仿宋_GB2312"/>
          <w:sz w:val="32"/>
        </w:rPr>
        <w:t>粮食粮食流通领域“克扣斤两”“压级压价”“打白条”“以次充好”“先收后转”“转圈粮”“以陈顶新”等问题，严厉打击囤积居奇、哄抬哄抢、造谣传谣、操纵价格等各类违法违规行为，坚决维护好市场秩序。</w:t>
      </w:r>
    </w:p>
    <w:p>
      <w:pPr>
        <w:ind w:firstLine="640" w:firstLineChars="200"/>
        <w:rPr>
          <w:rFonts w:ascii="仿宋_GB2312" w:eastAsia="仿宋_GB2312"/>
          <w:sz w:val="32"/>
        </w:rPr>
      </w:pPr>
      <w:r>
        <w:rPr>
          <w:rFonts w:hint="eastAsia" w:ascii="仿宋_GB2312" w:eastAsia="仿宋_GB2312"/>
          <w:sz w:val="32"/>
        </w:rPr>
        <w:t>强化粮食质量监管，完善质检体系，确保粮食质量安全。按照“机构成网络、监测全覆盖、监管无盲区”的要求，建设形成以市级机构为骨干、县级机构和企业检化验室为补充的粮食质检体系，粮食质量检验监测覆盖面达到全市粮食主产区的</w:t>
      </w:r>
      <w:r>
        <w:rPr>
          <w:rFonts w:ascii="仿宋_GB2312" w:eastAsia="仿宋_GB2312"/>
          <w:sz w:val="32"/>
        </w:rPr>
        <w:t>60%以上。创新粮食和物资监管新方法，</w:t>
      </w:r>
      <w:r>
        <w:rPr>
          <w:rFonts w:hint="eastAsia" w:ascii="仿宋_GB2312" w:eastAsia="仿宋_GB2312"/>
          <w:sz w:val="32"/>
        </w:rPr>
        <w:t>广泛推行“四不两直接”检查方式，</w:t>
      </w:r>
      <w:r>
        <w:rPr>
          <w:rFonts w:ascii="仿宋_GB2312" w:eastAsia="仿宋_GB2312"/>
          <w:sz w:val="32"/>
        </w:rPr>
        <w:t>探索引入第三方模式，委托具有合法资质的</w:t>
      </w:r>
      <w:r>
        <w:rPr>
          <w:rFonts w:hint="eastAsia" w:ascii="仿宋_GB2312" w:eastAsia="仿宋_GB2312"/>
          <w:sz w:val="32"/>
        </w:rPr>
        <w:t>机构</w:t>
      </w:r>
      <w:r>
        <w:rPr>
          <w:rFonts w:ascii="仿宋_GB2312" w:eastAsia="仿宋_GB2312"/>
          <w:sz w:val="32"/>
        </w:rPr>
        <w:t>承担有关财务核查、粮食质量检验和数量核查等工作，进一步增强粮食和物资流通监管工作公信力和透明度。</w:t>
      </w:r>
    </w:p>
    <w:p>
      <w:pPr>
        <w:ind w:firstLine="640" w:firstLineChars="200"/>
        <w:rPr>
          <w:rFonts w:ascii="仿宋_GB2312" w:eastAsia="仿宋_GB2312"/>
          <w:sz w:val="32"/>
        </w:rPr>
      </w:pPr>
      <w:r>
        <w:rPr>
          <w:rFonts w:hint="eastAsia" w:ascii="仿宋_GB2312" w:eastAsia="仿宋_GB2312"/>
          <w:sz w:val="32"/>
        </w:rPr>
        <w:t>严格落实食品安全职责，加大质量安全监管力度。落实企业食品安全主体责任，强化粮食出入库检查，不断加大粮食抽检的力度，全面完成自治区粮食行政主管部门和市食安办下达的目标任务，织密粮食安全监管的笼子。加大问题粮和超标粮处置力度，确保老百姓吃上放心粮，守好百姓舌尖上的安全。结合食品安全周、世界粮食日、节粮爱粮日各项活动，深入开展粮食质量检验检测知识、粮食质量常识科普，提升广大群众的辨别力，共同做好粮食质量安全工作。</w:t>
      </w:r>
    </w:p>
    <w:p>
      <w:pPr>
        <w:ind w:firstLine="640" w:firstLineChars="200"/>
        <w:rPr>
          <w:rFonts w:ascii="仿宋_GB2312" w:eastAsia="仿宋_GB2312"/>
          <w:sz w:val="32"/>
        </w:rPr>
      </w:pPr>
    </w:p>
    <w:p>
      <w:pPr>
        <w:outlineLvl w:val="1"/>
        <w:rPr>
          <w:rFonts w:ascii="仿宋_GB2312" w:eastAsia="仿宋_GB2312"/>
          <w:b/>
          <w:sz w:val="32"/>
        </w:rPr>
      </w:pPr>
      <w:bookmarkStart w:id="66" w:name="_Toc90880576"/>
      <w:r>
        <w:rPr>
          <w:rFonts w:hint="eastAsia" w:ascii="仿宋_GB2312" w:eastAsia="仿宋_GB2312"/>
          <w:b/>
          <w:sz w:val="32"/>
        </w:rPr>
        <w:t>三、</w:t>
      </w:r>
      <w:r>
        <w:rPr>
          <w:rFonts w:ascii="仿宋_GB2312" w:eastAsia="仿宋_GB2312"/>
          <w:b/>
          <w:sz w:val="32"/>
        </w:rPr>
        <w:t>大力促进粮食节约减损</w:t>
      </w:r>
      <w:bookmarkEnd w:id="66"/>
    </w:p>
    <w:p>
      <w:pPr>
        <w:ind w:firstLine="640" w:firstLineChars="200"/>
        <w:rPr>
          <w:rFonts w:ascii="仿宋_GB2312" w:eastAsia="仿宋_GB2312"/>
          <w:sz w:val="32"/>
        </w:rPr>
      </w:pPr>
      <w:r>
        <w:rPr>
          <w:rFonts w:hint="eastAsia" w:ascii="仿宋_GB2312" w:eastAsia="仿宋_GB2312"/>
          <w:sz w:val="32"/>
        </w:rPr>
        <w:t>加强宣传教育，</w:t>
      </w:r>
      <w:r>
        <w:rPr>
          <w:rFonts w:hint="eastAsia" w:ascii="Times New Roman" w:hAnsi="Times New Roman" w:eastAsia="仿宋_GB2312" w:cs="Times New Roman"/>
          <w:sz w:val="32"/>
          <w:szCs w:val="32"/>
        </w:rPr>
        <w:t>利用世界粮食日、粮食科技活动周和粮食安全宣传周等开展粮食安全与节粮减损科普教育，带动社会各行业树立起粮食安全人人有责意识，形成爱粮节粮的良好社会新风尚</w:t>
      </w:r>
      <w:r>
        <w:rPr>
          <w:rFonts w:ascii="仿宋_GB2312" w:eastAsia="仿宋_GB2312"/>
          <w:sz w:val="32"/>
        </w:rPr>
        <w:t>，在全社会营造浪费可耻、节约为荣的氛围。</w:t>
      </w:r>
    </w:p>
    <w:p>
      <w:pPr>
        <w:ind w:firstLine="640" w:firstLineChars="200"/>
        <w:rPr>
          <w:rFonts w:ascii="仿宋_GB2312" w:eastAsia="仿宋_GB2312"/>
          <w:sz w:val="32"/>
        </w:rPr>
      </w:pPr>
      <w:r>
        <w:rPr>
          <w:rFonts w:hint="eastAsia" w:ascii="仿宋_GB2312" w:eastAsia="仿宋_GB2312"/>
          <w:sz w:val="32"/>
        </w:rPr>
        <w:t>在粮食生产、流通、消费领域继续开发推广节粮减损新设施、新技术和新装备，大幅度降低粮食损耗，推进全链条、多环节、系统化的粮食产后“减损”，提高成品粮出品率、加工转化率和副产物利用率。</w:t>
      </w:r>
    </w:p>
    <w:p>
      <w:pPr>
        <w:ind w:firstLine="640" w:firstLineChars="200"/>
        <w:rPr>
          <w:rFonts w:ascii="仿宋_GB2312" w:eastAsia="仿宋_GB2312"/>
          <w:sz w:val="32"/>
        </w:rPr>
      </w:pPr>
      <w:r>
        <w:rPr>
          <w:rFonts w:hint="eastAsia" w:ascii="仿宋_GB2312" w:eastAsia="仿宋_GB2312"/>
          <w:sz w:val="32"/>
        </w:rPr>
        <w:t>推进重点环节减损，收购环节重点提高粮食清理烘干能力，推动净粮入仓、颗粒归仓。仓储环节推进绿色仓储设施建设，推动储粮先进技术应用。运输环节发展新型粮食运输装备，提升粮食运输现代化和装卸智能化水平，促进“四散”技术发展。加工环节引导支持企业适度加工，发展先进工艺，淘汰落后产能，推动发展粮食加工副产物综合利用。</w:t>
      </w:r>
    </w:p>
    <w:p>
      <w:pPr>
        <w:ind w:firstLine="640" w:firstLineChars="200"/>
        <w:rPr>
          <w:rFonts w:ascii="仿宋_GB2312" w:eastAsia="仿宋_GB2312"/>
          <w:sz w:val="32"/>
        </w:rPr>
      </w:pPr>
    </w:p>
    <w:p>
      <w:pPr>
        <w:outlineLvl w:val="1"/>
        <w:rPr>
          <w:rFonts w:ascii="仿宋_GB2312" w:eastAsia="仿宋_GB2312"/>
          <w:b/>
          <w:sz w:val="32"/>
        </w:rPr>
      </w:pPr>
      <w:bookmarkStart w:id="67" w:name="_Toc78161048"/>
      <w:bookmarkStart w:id="68" w:name="_Toc90880577"/>
      <w:r>
        <w:rPr>
          <w:rFonts w:hint="eastAsia" w:ascii="仿宋_GB2312" w:eastAsia="仿宋_GB2312"/>
          <w:b/>
          <w:sz w:val="32"/>
        </w:rPr>
        <w:t>四</w:t>
      </w:r>
      <w:r>
        <w:rPr>
          <w:rFonts w:ascii="仿宋_GB2312" w:eastAsia="仿宋_GB2312"/>
          <w:b/>
          <w:sz w:val="32"/>
        </w:rPr>
        <w:t>、推进粮食行业信用体系建设</w:t>
      </w:r>
      <w:bookmarkEnd w:id="67"/>
      <w:bookmarkEnd w:id="68"/>
    </w:p>
    <w:p>
      <w:pPr>
        <w:ind w:firstLine="640" w:firstLineChars="200"/>
        <w:rPr>
          <w:rFonts w:ascii="仿宋_GB2312" w:eastAsia="仿宋_GB2312"/>
          <w:sz w:val="32"/>
        </w:rPr>
      </w:pPr>
      <w:r>
        <w:rPr>
          <w:rFonts w:hint="eastAsia" w:ascii="仿宋_GB2312" w:eastAsia="仿宋_GB2312"/>
          <w:sz w:val="32"/>
        </w:rPr>
        <w:t>全面推行信用体系建设，落实新型监管机制，用好事前信用承诺，加强事中分类监管，完善事后奖惩机制。加强事中、事后监管，建立粮食经营者信用档案，明确粮食和储备行政管理部门、市场监督管理部门的监管措施，进一步规范买卖双方的交易行为，有效维护粮食市场的良好秩序，营造公平竞争的良好环境，促进粮食市场的健康有序发展。</w:t>
      </w:r>
    </w:p>
    <w:p>
      <w:pPr>
        <w:ind w:firstLine="640" w:firstLineChars="200"/>
        <w:rPr>
          <w:rFonts w:ascii="仿宋_GB2312" w:eastAsia="仿宋_GB2312"/>
          <w:sz w:val="32"/>
        </w:rPr>
      </w:pPr>
      <w:r>
        <w:rPr>
          <w:rFonts w:hint="eastAsia" w:ascii="仿宋_GB2312" w:eastAsia="仿宋_GB2312"/>
          <w:sz w:val="32"/>
        </w:rPr>
        <w:t>加大违法行为惩处力度，对粮食收购企业未按规定备案或提供虚假备案信息、未按国家规定进行质量安全检验，粮食储存企业未按规定进行粮食销售出库质量安全检验等行为，处以警告或罚款等处罚，提高粮食经营主体违法成本。加强行政处罚与追究刑事责任的衔接，提升监管威慑力，在更高的水平上维护粮食生产者、经营者和消费者的合法权益，规范生产经营活动，促进粮食市场健康运行。</w:t>
      </w:r>
    </w:p>
    <w:p>
      <w:pPr>
        <w:ind w:firstLine="640" w:firstLineChars="200"/>
        <w:rPr>
          <w:rFonts w:ascii="仿宋_GB2312" w:eastAsia="仿宋_GB2312"/>
          <w:sz w:val="32"/>
        </w:rPr>
      </w:pPr>
      <w:r>
        <w:rPr>
          <w:rFonts w:hint="eastAsia" w:ascii="仿宋_GB2312" w:eastAsia="仿宋_GB2312"/>
          <w:sz w:val="32"/>
        </w:rPr>
        <w:t>统筹政策性粮食交易和统计直报系统、政策性粮食库存数量和质量大清查应用软件、</w:t>
      </w:r>
      <w:r>
        <w:rPr>
          <w:rFonts w:ascii="仿宋_GB2312" w:eastAsia="仿宋_GB2312"/>
          <w:sz w:val="32"/>
        </w:rPr>
        <w:t>12325监管热线、粮食行业“双随机”抽查应用等平台，依托信用中国、国家企业信用信息公示系统相关系统和数据，搭建粮食企业信用监管系统，建立并完善粮食企业严重违法失信名单制度、粮食企业信用评价体系和信用档案系统，并与发展改革、税务、市场监管等部门实现数据对接，支撑联合惩戒。</w:t>
      </w:r>
    </w:p>
    <w:p>
      <w:pPr>
        <w:rPr>
          <w:rFonts w:ascii="仿宋_GB2312" w:eastAsia="仿宋_GB2312"/>
          <w:b/>
          <w:sz w:val="36"/>
          <w:szCs w:val="20"/>
        </w:rPr>
      </w:pPr>
      <w:r>
        <w:rPr>
          <w:rFonts w:ascii="仿宋_GB2312" w:eastAsia="仿宋_GB2312"/>
          <w:b/>
          <w:sz w:val="36"/>
          <w:szCs w:val="20"/>
        </w:rPr>
        <w:br w:type="page"/>
      </w:r>
    </w:p>
    <w:p>
      <w:pPr>
        <w:snapToGrid w:val="0"/>
        <w:spacing w:before="312" w:beforeLines="100" w:after="312" w:afterLines="100" w:line="360" w:lineRule="auto"/>
        <w:jc w:val="center"/>
        <w:outlineLvl w:val="0"/>
        <w:rPr>
          <w:rFonts w:ascii="仿宋_GB2312" w:eastAsia="仿宋_GB2312"/>
          <w:b/>
          <w:sz w:val="36"/>
          <w:szCs w:val="20"/>
        </w:rPr>
      </w:pPr>
      <w:bookmarkStart w:id="69" w:name="_Toc90880578"/>
      <w:r>
        <w:rPr>
          <w:rFonts w:hint="eastAsia" w:ascii="仿宋_GB2312" w:eastAsia="仿宋_GB2312"/>
          <w:b/>
          <w:sz w:val="36"/>
          <w:szCs w:val="20"/>
        </w:rPr>
        <w:t>第十章 加快科技创新和信息化建设</w:t>
      </w:r>
      <w:bookmarkEnd w:id="69"/>
    </w:p>
    <w:p>
      <w:pPr>
        <w:outlineLvl w:val="1"/>
        <w:rPr>
          <w:rFonts w:ascii="仿宋_GB2312" w:eastAsia="仿宋_GB2312"/>
          <w:b/>
          <w:sz w:val="32"/>
        </w:rPr>
      </w:pPr>
      <w:bookmarkStart w:id="70" w:name="_Toc90880579"/>
      <w:r>
        <w:rPr>
          <w:rFonts w:hint="eastAsia" w:ascii="仿宋_GB2312" w:eastAsia="仿宋_GB2312"/>
          <w:b/>
          <w:sz w:val="32"/>
        </w:rPr>
        <w:t>一、推进实施藏粮于技、科技兴粮</w:t>
      </w:r>
      <w:bookmarkEnd w:id="70"/>
    </w:p>
    <w:p>
      <w:pPr>
        <w:ind w:firstLine="640" w:firstLineChars="200"/>
        <w:rPr>
          <w:rFonts w:ascii="仿宋_GB2312" w:eastAsia="仿宋_GB2312"/>
          <w:sz w:val="32"/>
        </w:rPr>
      </w:pPr>
      <w:r>
        <w:rPr>
          <w:rFonts w:hint="eastAsia" w:ascii="仿宋_GB2312" w:eastAsia="仿宋_GB2312"/>
          <w:sz w:val="32"/>
        </w:rPr>
        <w:t>坚持创新在粮食和物资储备现代化建设中的核心地位，深入实施科技兴粮、科技兴储战略。开展粮食适度加工、副产品综合利用、粮油纯度检测、粮油品质评价、绿色生态储粮、智能仓储、低温储粮成套集成、优质粮食品种及耐储专用品种选育等关键适用技术的集成和应用。</w:t>
      </w:r>
    </w:p>
    <w:p>
      <w:pPr>
        <w:ind w:firstLine="640" w:firstLineChars="200"/>
        <w:rPr>
          <w:rFonts w:ascii="仿宋_GB2312" w:eastAsia="仿宋_GB2312"/>
          <w:sz w:val="32"/>
        </w:rPr>
      </w:pPr>
      <w:r>
        <w:rPr>
          <w:rFonts w:hint="eastAsia" w:ascii="仿宋_GB2312" w:eastAsia="仿宋_GB2312"/>
          <w:sz w:val="32"/>
        </w:rPr>
        <w:t>培育市场创新主体，整合粮食科技创新资源，积极推动创新平台建设，鼓励建立粮食物资行业技能大师工作室和创新工作室。发挥企业科技创新主体作用，健全科技创新激励机制，引导企业科研投入，加快研究成果转化。</w:t>
      </w:r>
    </w:p>
    <w:p>
      <w:pPr>
        <w:ind w:firstLine="640" w:firstLineChars="200"/>
        <w:rPr>
          <w:rFonts w:ascii="仿宋_GB2312" w:eastAsia="仿宋_GB2312"/>
          <w:sz w:val="32"/>
        </w:rPr>
      </w:pPr>
      <w:r>
        <w:rPr>
          <w:rFonts w:hint="eastAsia" w:ascii="仿宋_GB2312" w:eastAsia="仿宋_GB2312"/>
          <w:sz w:val="32"/>
        </w:rPr>
        <w:t>实施粮食机械装备提升行动，实施绿色仓储提升行动，大力推广低温储粮、多参数粮情、智能仓储等先进适用技术，科学应用富氮气调、仓顶光伏发电等技术。熏蒸化学药剂使用量和粮食储存损耗实现双下降，绿色储粮比例稳步上升</w:t>
      </w:r>
      <w:r>
        <w:rPr>
          <w:rFonts w:ascii="仿宋_GB2312" w:eastAsia="仿宋_GB2312"/>
          <w:sz w:val="32"/>
        </w:rPr>
        <w:t>。</w:t>
      </w:r>
    </w:p>
    <w:p>
      <w:pPr>
        <w:ind w:firstLine="640" w:firstLineChars="200"/>
        <w:rPr>
          <w:rFonts w:ascii="仿宋_GB2312" w:eastAsia="仿宋_GB2312"/>
          <w:sz w:val="32"/>
        </w:rPr>
      </w:pPr>
    </w:p>
    <w:p>
      <w:pPr>
        <w:outlineLvl w:val="1"/>
        <w:rPr>
          <w:rFonts w:ascii="仿宋_GB2312" w:eastAsia="仿宋_GB2312"/>
          <w:b/>
          <w:sz w:val="32"/>
        </w:rPr>
      </w:pPr>
      <w:bookmarkStart w:id="71" w:name="_Toc90880580"/>
      <w:r>
        <w:rPr>
          <w:rFonts w:hint="eastAsia" w:ascii="仿宋_GB2312" w:eastAsia="仿宋_GB2312"/>
          <w:b/>
          <w:sz w:val="32"/>
        </w:rPr>
        <w:t>二、加快建设智慧粮储、科技物储</w:t>
      </w:r>
      <w:bookmarkEnd w:id="71"/>
    </w:p>
    <w:p>
      <w:pPr>
        <w:ind w:firstLine="640" w:firstLineChars="200"/>
        <w:rPr>
          <w:rFonts w:ascii="仿宋_GB2312" w:eastAsia="仿宋_GB2312"/>
          <w:sz w:val="32"/>
        </w:rPr>
      </w:pPr>
      <w:r>
        <w:rPr>
          <w:rFonts w:hint="eastAsia" w:ascii="仿宋_GB2312" w:eastAsia="仿宋_GB2312"/>
          <w:sz w:val="32"/>
        </w:rPr>
        <w:t>切实落实粮食安全行政首长责任制关于科技创新的要求，推进“智慧粮储”“科技物储”工作，积极部署粮食和物资储备科技创新工作。及时跟踪和掌握粮食和物资储备科技创新动向，主动开展科技成果对接服务，积极搭建科研人员与企业对接平台，推动科技成果转化，营造良好的科技创新环境，保护基层创新积极性。</w:t>
      </w:r>
    </w:p>
    <w:p>
      <w:pPr>
        <w:ind w:firstLine="640" w:firstLineChars="200"/>
        <w:rPr>
          <w:rFonts w:ascii="仿宋_GB2312" w:eastAsia="仿宋_GB2312"/>
          <w:sz w:val="32"/>
        </w:rPr>
      </w:pPr>
      <w:r>
        <w:rPr>
          <w:rFonts w:hint="eastAsia" w:ascii="仿宋_GB2312" w:eastAsia="仿宋_GB2312"/>
          <w:sz w:val="32"/>
        </w:rPr>
        <w:t>全面实现科技为智慧储粮赋能，运用大数据、云计算、物联网等技术深度改造传统粮库，推进</w:t>
      </w:r>
      <w:r>
        <w:rPr>
          <w:rFonts w:ascii="仿宋_GB2312" w:eastAsia="仿宋_GB2312"/>
          <w:sz w:val="32"/>
        </w:rPr>
        <w:t>储存库点智能化全覆盖，综合利用传感器、射频识别等技术，实时掌握粮情变化</w:t>
      </w:r>
      <w:r>
        <w:rPr>
          <w:rFonts w:hint="eastAsia" w:ascii="仿宋_GB2312" w:eastAsia="仿宋_GB2312"/>
          <w:sz w:val="32"/>
        </w:rPr>
        <w:t>，</w:t>
      </w:r>
      <w:r>
        <w:rPr>
          <w:rFonts w:ascii="仿宋_GB2312" w:eastAsia="仿宋_GB2312"/>
          <w:sz w:val="32"/>
        </w:rPr>
        <w:t>将出入仓作业、储粮作业、购销结算等业务集成融合，做到对每一笔业务全方位管理。</w:t>
      </w:r>
    </w:p>
    <w:p>
      <w:pPr>
        <w:ind w:firstLine="640" w:firstLineChars="200"/>
        <w:rPr>
          <w:rFonts w:ascii="仿宋_GB2312" w:eastAsia="仿宋_GB2312"/>
          <w:sz w:val="32"/>
        </w:rPr>
      </w:pPr>
      <w:r>
        <w:rPr>
          <w:rFonts w:hint="eastAsia" w:ascii="仿宋_GB2312" w:eastAsia="仿宋_GB2312"/>
          <w:sz w:val="32"/>
        </w:rPr>
        <w:t>强化科技物储，支撑形成政府主导、分级负责、上下联动、协调有序、运转高效的物资储备运行机制。加大物资储备与科技产业深度融合研究，对接产业项目，推动物资储备行业创新发展。运用“互联网</w:t>
      </w:r>
      <w:r>
        <w:rPr>
          <w:rFonts w:ascii="仿宋_GB2312" w:eastAsia="仿宋_GB2312"/>
          <w:sz w:val="32"/>
        </w:rPr>
        <w:t>+”、大数据、物联网、云计算等科技手段，推进存储物资监测预警制度的实施，实现物资轮换、库位管理精细化、科学化。</w:t>
      </w:r>
    </w:p>
    <w:p>
      <w:pPr>
        <w:ind w:firstLine="640" w:firstLineChars="200"/>
        <w:rPr>
          <w:rFonts w:ascii="仿宋_GB2312" w:eastAsia="仿宋_GB2312"/>
          <w:sz w:val="32"/>
        </w:rPr>
      </w:pPr>
    </w:p>
    <w:p>
      <w:pPr>
        <w:outlineLvl w:val="1"/>
        <w:rPr>
          <w:rFonts w:ascii="仿宋_GB2312" w:eastAsia="仿宋_GB2312"/>
          <w:b/>
          <w:sz w:val="32"/>
        </w:rPr>
      </w:pPr>
      <w:bookmarkStart w:id="72" w:name="_Toc90880581"/>
      <w:r>
        <w:rPr>
          <w:rFonts w:hint="eastAsia" w:ascii="仿宋_GB2312" w:eastAsia="仿宋_GB2312"/>
          <w:b/>
          <w:sz w:val="32"/>
        </w:rPr>
        <w:t>三、提升行业数字化、智能化水平</w:t>
      </w:r>
      <w:bookmarkEnd w:id="72"/>
    </w:p>
    <w:p>
      <w:pPr>
        <w:ind w:firstLine="640" w:firstLineChars="200"/>
        <w:rPr>
          <w:rFonts w:ascii="仿宋_GB2312" w:eastAsia="仿宋_GB2312"/>
          <w:sz w:val="32"/>
        </w:rPr>
      </w:pPr>
      <w:r>
        <w:rPr>
          <w:rFonts w:hint="eastAsia" w:ascii="仿宋_GB2312" w:eastAsia="仿宋_GB2312"/>
          <w:sz w:val="32"/>
        </w:rPr>
        <w:t>以数字化改革撬动粮食和物资储备改革，运用数字化技术、数字化思维、数字化认知重塑粮食物资业务，加快整合建设并迭代升级，推进粮储行业数字化、智能化、现代化。围绕“种粮吃饭”一件事，以“一颗种子从田间地头到餐桌饭碗”为主线，通过数字化改革集成，打造数字化平台，推进智慧粮库、智能工厂、网上市场、数字园区建设，实现互联网和粮食业务、粮食产业的深度融合。</w:t>
      </w:r>
    </w:p>
    <w:p>
      <w:pPr>
        <w:ind w:firstLine="640" w:firstLineChars="200"/>
        <w:rPr>
          <w:rFonts w:ascii="仿宋_GB2312" w:eastAsia="仿宋_GB2312"/>
          <w:sz w:val="32"/>
        </w:rPr>
      </w:pPr>
      <w:r>
        <w:rPr>
          <w:rFonts w:hint="eastAsia" w:ascii="仿宋_GB2312" w:eastAsia="仿宋_GB2312"/>
          <w:sz w:val="32"/>
        </w:rPr>
        <w:t>依托一体化智能化公共数据平台，</w:t>
      </w:r>
      <w:r>
        <w:rPr>
          <w:rFonts w:ascii="仿宋_GB2312" w:eastAsia="仿宋_GB2312"/>
          <w:sz w:val="32"/>
        </w:rPr>
        <w:t>构建涉及物流、市场、加工企业、金融、商超等加工、流通、消费链的</w:t>
      </w:r>
      <w:r>
        <w:rPr>
          <w:rFonts w:hint="eastAsia" w:ascii="仿宋_GB2312" w:eastAsia="仿宋_GB2312"/>
          <w:sz w:val="32"/>
        </w:rPr>
        <w:t>一体化业务应用系统，多条链综合应用及大数据高效运行。拓宽信息化口径，纳入基层收储库点、龙头加工企业、批发市场、应急供应网点、应急配送中心和县级数据维护终端。强化信息技术手段应用，开展“互联网</w:t>
      </w:r>
      <w:r>
        <w:rPr>
          <w:rFonts w:ascii="仿宋_GB2312" w:eastAsia="仿宋_GB2312"/>
          <w:sz w:val="32"/>
        </w:rPr>
        <w:t>+”收购</w:t>
      </w:r>
      <w:r>
        <w:rPr>
          <w:rFonts w:hint="eastAsia" w:ascii="仿宋_GB2312" w:eastAsia="仿宋_GB2312"/>
          <w:sz w:val="32"/>
        </w:rPr>
        <w:t>，实行在线监控、远程监管，</w:t>
      </w:r>
      <w:r>
        <w:rPr>
          <w:rFonts w:ascii="仿宋_GB2312" w:eastAsia="仿宋_GB2312"/>
          <w:sz w:val="32"/>
        </w:rPr>
        <w:t>全面打造粮食和物资储备领域的</w:t>
      </w:r>
      <w:r>
        <w:rPr>
          <w:rFonts w:hint="eastAsia" w:ascii="仿宋_GB2312" w:eastAsia="仿宋_GB2312"/>
          <w:sz w:val="32"/>
        </w:rPr>
        <w:t>智能化治理</w:t>
      </w:r>
      <w:r>
        <w:rPr>
          <w:rFonts w:ascii="仿宋_GB2312" w:eastAsia="仿宋_GB2312"/>
          <w:sz w:val="32"/>
        </w:rPr>
        <w:t>体系和</w:t>
      </w:r>
      <w:r>
        <w:rPr>
          <w:rFonts w:hint="eastAsia" w:ascii="仿宋_GB2312" w:eastAsia="仿宋_GB2312"/>
          <w:sz w:val="32"/>
        </w:rPr>
        <w:t>数字化管理制度体系。</w:t>
      </w:r>
    </w:p>
    <w:p>
      <w:pPr>
        <w:ind w:firstLine="640" w:firstLineChars="200"/>
        <w:rPr>
          <w:rFonts w:ascii="仿宋_GB2312" w:eastAsia="仿宋_GB2312"/>
          <w:sz w:val="32"/>
        </w:rPr>
      </w:pPr>
    </w:p>
    <w:p>
      <w:pPr>
        <w:outlineLvl w:val="1"/>
        <w:rPr>
          <w:rFonts w:ascii="仿宋_GB2312" w:eastAsia="仿宋_GB2312"/>
          <w:b/>
          <w:sz w:val="32"/>
        </w:rPr>
      </w:pPr>
      <w:bookmarkStart w:id="73" w:name="_Toc90880582"/>
      <w:r>
        <w:rPr>
          <w:rFonts w:hint="eastAsia" w:ascii="仿宋_GB2312" w:eastAsia="仿宋_GB2312"/>
          <w:b/>
          <w:sz w:val="32"/>
        </w:rPr>
        <w:t>四、加快标准化建设、标准化管理</w:t>
      </w:r>
      <w:bookmarkEnd w:id="73"/>
    </w:p>
    <w:p>
      <w:pPr>
        <w:ind w:firstLine="640" w:firstLineChars="200"/>
        <w:rPr>
          <w:rFonts w:ascii="仿宋_GB2312" w:eastAsia="仿宋_GB2312"/>
          <w:sz w:val="32"/>
        </w:rPr>
      </w:pPr>
      <w:r>
        <w:rPr>
          <w:rFonts w:ascii="仿宋_GB2312" w:eastAsia="仿宋_GB2312"/>
          <w:sz w:val="32"/>
        </w:rPr>
        <w:t>加强行业标准化建设，充分发挥标准引领作用</w:t>
      </w:r>
      <w:r>
        <w:rPr>
          <w:rFonts w:hint="eastAsia" w:ascii="仿宋_GB2312" w:eastAsia="仿宋_GB2312"/>
          <w:sz w:val="32"/>
        </w:rPr>
        <w:t>，配合做好节粮减损标准化工作。</w:t>
      </w:r>
      <w:r>
        <w:rPr>
          <w:rFonts w:ascii="仿宋_GB2312" w:eastAsia="仿宋_GB2312"/>
          <w:sz w:val="32"/>
        </w:rPr>
        <w:t>组织开展标准化试点示范，积极参与制定完善“</w:t>
      </w:r>
      <w:r>
        <w:rPr>
          <w:rFonts w:hint="eastAsia" w:ascii="仿宋_GB2312" w:eastAsia="仿宋_GB2312"/>
          <w:sz w:val="32"/>
        </w:rPr>
        <w:t>广西</w:t>
      </w:r>
      <w:r>
        <w:rPr>
          <w:rFonts w:ascii="仿宋_GB2312" w:eastAsia="仿宋_GB2312"/>
          <w:sz w:val="32"/>
        </w:rPr>
        <w:t>好粮油”、低温储粮、“四化粮库”、粮食批发市场运行管理规范等一批地方标准、团体标准</w:t>
      </w:r>
      <w:r>
        <w:rPr>
          <w:rFonts w:hint="eastAsia" w:ascii="仿宋_GB2312" w:eastAsia="仿宋_GB2312"/>
          <w:sz w:val="32"/>
        </w:rPr>
        <w:t>，</w:t>
      </w:r>
      <w:r>
        <w:rPr>
          <w:rFonts w:ascii="仿宋_GB2312" w:eastAsia="仿宋_GB2312"/>
          <w:sz w:val="32"/>
        </w:rPr>
        <w:t>鼓励企业制定严于国家标准、行业标准的企业标准。</w:t>
      </w:r>
      <w:r>
        <w:rPr>
          <w:rFonts w:hint="eastAsia" w:ascii="仿宋_GB2312" w:eastAsia="仿宋_GB2312"/>
          <w:sz w:val="32"/>
        </w:rPr>
        <w:t>推动安全生产标准化、物流设施标准化、仓储设施标准化等方面的标准建设。</w:t>
      </w:r>
    </w:p>
    <w:p>
      <w:pPr>
        <w:ind w:firstLine="640" w:firstLineChars="200"/>
        <w:rPr>
          <w:rFonts w:ascii="仿宋_GB2312" w:eastAsia="仿宋_GB2312"/>
          <w:sz w:val="32"/>
        </w:rPr>
      </w:pPr>
      <w:r>
        <w:rPr>
          <w:rFonts w:hint="eastAsia" w:ascii="仿宋_GB2312" w:eastAsia="仿宋_GB2312"/>
          <w:sz w:val="32"/>
        </w:rPr>
        <w:t>全面升级粮库的标准化管理，优化仓储作业流程、细化各环节仓储管理规范标准和规章制度、量化管理标准，完善考核机制，运用科学的管理方法，强化协作配合，对仓储管理的各个环节和细节实施准确、快捷的规范和控制。以仓储管理规范化建设为抓手，逐步形成全市统一的工作模式、行业标准和监督管理，促进粮食储备库在硬件条件改善、管理能力提升、业务流程规范和环境设施美化等方面取得实效，推动粮食储备管理上水平、上台阶、上档次。</w:t>
      </w:r>
    </w:p>
    <w:p>
      <w:pPr>
        <w:ind w:firstLine="640" w:firstLineChars="200"/>
        <w:rPr>
          <w:rFonts w:ascii="仿宋_GB2312" w:eastAsia="仿宋_GB2312"/>
          <w:sz w:val="32"/>
        </w:rPr>
      </w:pPr>
    </w:p>
    <w:p>
      <w:pPr>
        <w:outlineLvl w:val="1"/>
        <w:rPr>
          <w:rFonts w:ascii="仿宋_GB2312" w:eastAsia="仿宋_GB2312"/>
          <w:b/>
          <w:sz w:val="32"/>
        </w:rPr>
      </w:pPr>
      <w:bookmarkStart w:id="74" w:name="_Toc90880583"/>
      <w:r>
        <w:rPr>
          <w:rFonts w:hint="eastAsia" w:ascii="仿宋_GB2312" w:eastAsia="仿宋_GB2312"/>
          <w:b/>
          <w:sz w:val="32"/>
        </w:rPr>
        <w:t>五、加强队伍建设、优化人才结构</w:t>
      </w:r>
      <w:bookmarkEnd w:id="74"/>
    </w:p>
    <w:p>
      <w:pPr>
        <w:ind w:firstLine="640" w:firstLineChars="200"/>
        <w:rPr>
          <w:rFonts w:ascii="仿宋_GB2312" w:eastAsia="仿宋_GB2312"/>
          <w:sz w:val="32"/>
        </w:rPr>
      </w:pPr>
      <w:r>
        <w:rPr>
          <w:rFonts w:hint="eastAsia" w:ascii="仿宋_GB2312" w:eastAsia="仿宋_GB2312"/>
          <w:sz w:val="32"/>
        </w:rPr>
        <w:t>深入实施“人才兴粮”工程，针对粮食系统</w:t>
      </w:r>
      <w:r>
        <w:rPr>
          <w:rFonts w:ascii="仿宋_GB2312" w:eastAsia="仿宋_GB2312"/>
          <w:sz w:val="32"/>
        </w:rPr>
        <w:t>“</w:t>
      </w:r>
      <w:r>
        <w:rPr>
          <w:rFonts w:hint="eastAsia" w:ascii="仿宋_GB2312" w:eastAsia="仿宋_GB2312"/>
          <w:sz w:val="32"/>
        </w:rPr>
        <w:t>青黄不接</w:t>
      </w:r>
      <w:r>
        <w:rPr>
          <w:rFonts w:ascii="仿宋_GB2312" w:eastAsia="仿宋_GB2312"/>
          <w:sz w:val="32"/>
        </w:rPr>
        <w:t>”</w:t>
      </w:r>
      <w:r>
        <w:rPr>
          <w:rFonts w:hint="eastAsia" w:ascii="仿宋_GB2312" w:eastAsia="仿宋_GB2312"/>
          <w:sz w:val="32"/>
        </w:rPr>
        <w:t>人才队伍断层、断档问题，实施粮食科技人才培养和引进计划。通过与科研院所合作进行定向培训、粮食与物资储备专业知识培训，推进“漓江学者”、人才小高地、“丹桂育才”“十万大学生留桂计划”等工程，多渠道培养和集聚粮食与物资仓储、现代物流、企业经营管理等方面的专业人才、创新创业人才等，为桂林市粮食与物资储备行业的创新发展奠定人才基础。</w:t>
      </w:r>
    </w:p>
    <w:p>
      <w:pPr>
        <w:ind w:firstLine="640" w:firstLineChars="200"/>
        <w:rPr>
          <w:rFonts w:ascii="仿宋_GB2312" w:eastAsia="仿宋_GB2312"/>
          <w:sz w:val="32"/>
        </w:rPr>
      </w:pPr>
      <w:r>
        <w:rPr>
          <w:rFonts w:hint="eastAsia" w:ascii="仿宋_GB2312" w:eastAsia="仿宋_GB2312"/>
          <w:sz w:val="32"/>
        </w:rPr>
        <w:t>着力优化粮食和物资储备行业人才结构，满足行业科技创新和信息化建设需要。到</w:t>
      </w:r>
      <w:r>
        <w:rPr>
          <w:rFonts w:ascii="仿宋_GB2312" w:eastAsia="仿宋_GB2312"/>
          <w:sz w:val="32"/>
        </w:rPr>
        <w:t>2025年，争取我市粮食与物资储备行业人才队伍有大专以上学历达80%以上，粮食与物资储备</w:t>
      </w:r>
      <w:r>
        <w:rPr>
          <w:rFonts w:hint="eastAsia" w:ascii="仿宋_GB2312" w:eastAsia="仿宋_GB2312"/>
          <w:sz w:val="32"/>
        </w:rPr>
        <w:t>系统管理人员大专以上学历所占比例达到</w:t>
      </w:r>
      <w:r>
        <w:rPr>
          <w:rFonts w:ascii="仿宋_GB2312" w:eastAsia="仿宋_GB2312"/>
          <w:sz w:val="32"/>
        </w:rPr>
        <w:t>100%，本科以上学历达到90%以上，形成人才队伍分布、专业、年龄、层次</w:t>
      </w:r>
      <w:r>
        <w:rPr>
          <w:rFonts w:hint="eastAsia" w:ascii="仿宋_GB2312" w:eastAsia="仿宋_GB2312"/>
          <w:sz w:val="32"/>
        </w:rPr>
        <w:t>结构</w:t>
      </w:r>
      <w:r>
        <w:rPr>
          <w:rFonts w:ascii="仿宋_GB2312" w:eastAsia="仿宋_GB2312"/>
          <w:sz w:val="32"/>
        </w:rPr>
        <w:t>趋于合理的</w:t>
      </w:r>
      <w:r>
        <w:rPr>
          <w:rFonts w:hint="eastAsia" w:ascii="仿宋_GB2312" w:eastAsia="仿宋_GB2312"/>
          <w:sz w:val="32"/>
        </w:rPr>
        <w:t>、</w:t>
      </w:r>
      <w:r>
        <w:rPr>
          <w:rFonts w:ascii="仿宋_GB2312" w:eastAsia="仿宋_GB2312"/>
          <w:sz w:val="32"/>
        </w:rPr>
        <w:t>高素质的粮食与物</w:t>
      </w:r>
      <w:r>
        <w:rPr>
          <w:rFonts w:hint="eastAsia" w:ascii="仿宋_GB2312" w:eastAsia="仿宋_GB2312"/>
          <w:sz w:val="32"/>
          <w:lang w:eastAsia="zh-CN"/>
        </w:rPr>
        <w:t>资</w:t>
      </w:r>
      <w:r>
        <w:rPr>
          <w:rFonts w:ascii="仿宋_GB2312" w:eastAsia="仿宋_GB2312"/>
          <w:sz w:val="32"/>
        </w:rPr>
        <w:t>储备行业人才队伍，为保障粮食与物</w:t>
      </w:r>
      <w:r>
        <w:rPr>
          <w:rFonts w:hint="eastAsia" w:ascii="仿宋_GB2312" w:eastAsia="仿宋_GB2312"/>
          <w:sz w:val="32"/>
          <w:lang w:eastAsia="zh-CN"/>
        </w:rPr>
        <w:t>资</w:t>
      </w:r>
      <w:r>
        <w:rPr>
          <w:rFonts w:ascii="仿宋_GB2312" w:eastAsia="仿宋_GB2312"/>
          <w:sz w:val="32"/>
        </w:rPr>
        <w:t>储备安全提供人才支撑。</w:t>
      </w:r>
    </w:p>
    <w:p>
      <w:pPr>
        <w:ind w:firstLine="640" w:firstLineChars="200"/>
        <w:rPr>
          <w:rFonts w:ascii="仿宋_GB2312" w:eastAsia="仿宋_GB2312"/>
          <w:sz w:val="32"/>
        </w:rPr>
      </w:pPr>
    </w:p>
    <w:p>
      <w:pPr>
        <w:rPr>
          <w:rFonts w:ascii="仿宋_GB2312" w:eastAsia="仿宋_GB2312"/>
          <w:b/>
          <w:sz w:val="36"/>
          <w:szCs w:val="20"/>
        </w:rPr>
      </w:pPr>
      <w:r>
        <w:rPr>
          <w:rFonts w:ascii="仿宋_GB2312" w:eastAsia="仿宋_GB2312"/>
          <w:b/>
          <w:sz w:val="36"/>
          <w:szCs w:val="20"/>
        </w:rPr>
        <w:br w:type="page"/>
      </w:r>
    </w:p>
    <w:p>
      <w:pPr>
        <w:snapToGrid w:val="0"/>
        <w:spacing w:before="312" w:beforeLines="100" w:after="312" w:afterLines="100" w:line="360" w:lineRule="auto"/>
        <w:jc w:val="center"/>
        <w:outlineLvl w:val="0"/>
        <w:rPr>
          <w:rFonts w:ascii="仿宋_GB2312" w:eastAsia="仿宋_GB2312"/>
          <w:b/>
          <w:sz w:val="36"/>
          <w:szCs w:val="20"/>
        </w:rPr>
      </w:pPr>
      <w:bookmarkStart w:id="75" w:name="_Toc90880584"/>
      <w:r>
        <w:rPr>
          <w:rFonts w:hint="eastAsia" w:ascii="仿宋_GB2312" w:eastAsia="仿宋_GB2312"/>
          <w:b/>
          <w:sz w:val="36"/>
          <w:szCs w:val="20"/>
        </w:rPr>
        <w:t>第十一章 保障措施</w:t>
      </w:r>
      <w:bookmarkEnd w:id="75"/>
    </w:p>
    <w:p>
      <w:pPr>
        <w:outlineLvl w:val="1"/>
        <w:rPr>
          <w:rFonts w:ascii="仿宋_GB2312" w:eastAsia="仿宋_GB2312"/>
          <w:b/>
          <w:sz w:val="32"/>
        </w:rPr>
      </w:pPr>
      <w:bookmarkStart w:id="76" w:name="_Toc90880585"/>
      <w:r>
        <w:rPr>
          <w:rFonts w:hint="eastAsia" w:ascii="仿宋_GB2312" w:eastAsia="仿宋_GB2312"/>
          <w:b/>
          <w:sz w:val="32"/>
        </w:rPr>
        <w:t>一、坚持党的全面领导</w:t>
      </w:r>
      <w:bookmarkEnd w:id="76"/>
    </w:p>
    <w:p>
      <w:pPr>
        <w:ind w:firstLine="640" w:firstLineChars="200"/>
        <w:rPr>
          <w:rFonts w:ascii="仿宋_GB2312" w:eastAsia="仿宋_GB2312"/>
          <w:sz w:val="32"/>
        </w:rPr>
      </w:pPr>
      <w:r>
        <w:rPr>
          <w:rFonts w:hint="eastAsia" w:ascii="仿宋_GB2312" w:eastAsia="仿宋_GB2312"/>
          <w:sz w:val="32"/>
        </w:rPr>
        <w:t>坚持党把方向、谋大局、定政策、促改革的要求，全面贯彻落实习近平新时代中国特色社会主义思想和习近平总书记</w:t>
      </w:r>
      <w:r>
        <w:rPr>
          <w:rFonts w:ascii="仿宋_GB2312" w:eastAsia="仿宋_GB2312"/>
          <w:sz w:val="32"/>
        </w:rPr>
        <w:t>“</w:t>
      </w:r>
      <w:r>
        <w:rPr>
          <w:rFonts w:hint="eastAsia" w:ascii="仿宋_GB2312" w:eastAsia="仿宋_GB2312"/>
          <w:sz w:val="32"/>
        </w:rPr>
        <w:t>争当表率、争做示范、走在前列</w:t>
      </w:r>
      <w:r>
        <w:rPr>
          <w:rFonts w:ascii="仿宋_GB2312" w:eastAsia="仿宋_GB2312"/>
          <w:sz w:val="32"/>
        </w:rPr>
        <w:t>”</w:t>
      </w:r>
      <w:r>
        <w:rPr>
          <w:rFonts w:hint="eastAsia" w:ascii="仿宋_GB2312" w:eastAsia="仿宋_GB2312"/>
          <w:sz w:val="32"/>
        </w:rPr>
        <w:t>的要求，粮食和物资储备行业全面增强</w:t>
      </w:r>
      <w:r>
        <w:rPr>
          <w:rFonts w:ascii="仿宋_GB2312" w:eastAsia="仿宋_GB2312"/>
          <w:sz w:val="32"/>
        </w:rPr>
        <w:t>“</w:t>
      </w:r>
      <w:r>
        <w:rPr>
          <w:rFonts w:hint="eastAsia" w:ascii="仿宋_GB2312" w:eastAsia="仿宋_GB2312"/>
          <w:sz w:val="32"/>
        </w:rPr>
        <w:t>四个意识</w:t>
      </w:r>
      <w:r>
        <w:rPr>
          <w:rFonts w:ascii="仿宋_GB2312" w:eastAsia="仿宋_GB2312"/>
          <w:sz w:val="32"/>
        </w:rPr>
        <w:t>”</w:t>
      </w:r>
      <w:r>
        <w:rPr>
          <w:rFonts w:hint="eastAsia" w:ascii="仿宋_GB2312" w:eastAsia="仿宋_GB2312"/>
          <w:sz w:val="32"/>
        </w:rPr>
        <w:t>、坚持</w:t>
      </w:r>
      <w:r>
        <w:rPr>
          <w:rFonts w:ascii="仿宋_GB2312" w:eastAsia="仿宋_GB2312"/>
          <w:sz w:val="32"/>
        </w:rPr>
        <w:t>“</w:t>
      </w:r>
      <w:r>
        <w:rPr>
          <w:rFonts w:hint="eastAsia" w:ascii="仿宋_GB2312" w:eastAsia="仿宋_GB2312"/>
          <w:sz w:val="32"/>
        </w:rPr>
        <w:t>四个自信</w:t>
      </w:r>
      <w:r>
        <w:rPr>
          <w:rFonts w:ascii="仿宋_GB2312" w:eastAsia="仿宋_GB2312"/>
          <w:sz w:val="32"/>
        </w:rPr>
        <w:t>”</w:t>
      </w:r>
      <w:r>
        <w:rPr>
          <w:rFonts w:hint="eastAsia" w:ascii="仿宋_GB2312" w:eastAsia="仿宋_GB2312"/>
          <w:sz w:val="32"/>
        </w:rPr>
        <w:t>、做到</w:t>
      </w:r>
      <w:r>
        <w:rPr>
          <w:rFonts w:ascii="仿宋_GB2312" w:eastAsia="仿宋_GB2312"/>
          <w:sz w:val="32"/>
        </w:rPr>
        <w:t>“</w:t>
      </w:r>
      <w:r>
        <w:rPr>
          <w:rFonts w:hint="eastAsia" w:ascii="仿宋_GB2312" w:eastAsia="仿宋_GB2312"/>
          <w:sz w:val="32"/>
        </w:rPr>
        <w:t>两个维护</w:t>
      </w:r>
      <w:r>
        <w:rPr>
          <w:rFonts w:ascii="仿宋_GB2312" w:eastAsia="仿宋_GB2312"/>
          <w:sz w:val="32"/>
        </w:rPr>
        <w:t>”</w:t>
      </w:r>
      <w:r>
        <w:rPr>
          <w:rFonts w:hint="eastAsia" w:ascii="仿宋_GB2312" w:eastAsia="仿宋_GB2312"/>
          <w:sz w:val="32"/>
        </w:rPr>
        <w:t>。</w:t>
      </w:r>
    </w:p>
    <w:p>
      <w:pPr>
        <w:ind w:firstLine="640" w:firstLineChars="200"/>
        <w:rPr>
          <w:rFonts w:ascii="仿宋_GB2312" w:eastAsia="仿宋_GB2312"/>
          <w:sz w:val="32"/>
        </w:rPr>
      </w:pPr>
      <w:r>
        <w:rPr>
          <w:rFonts w:hint="eastAsia" w:ascii="仿宋_GB2312" w:eastAsia="仿宋_GB2312"/>
          <w:sz w:val="32"/>
        </w:rPr>
        <w:t>坚持以党的政治建设为统领，压实管党治党政治责任，不断深化粮食和物资储备行业模范标兵创建活动。切实加强政治能力建设，努力提升广大干部政治素质；切实加强干部队伍建设，激励广大干部敢担当、勇作为；切实加强党风廉政建设，涵养风清气正政治生态。</w:t>
      </w:r>
    </w:p>
    <w:p>
      <w:pPr>
        <w:ind w:firstLine="640" w:firstLineChars="200"/>
        <w:rPr>
          <w:rFonts w:ascii="仿宋_GB2312" w:eastAsia="仿宋_GB2312"/>
          <w:sz w:val="32"/>
        </w:rPr>
      </w:pPr>
    </w:p>
    <w:p>
      <w:pPr>
        <w:outlineLvl w:val="1"/>
        <w:rPr>
          <w:rFonts w:ascii="仿宋_GB2312" w:eastAsia="仿宋_GB2312"/>
          <w:b/>
          <w:sz w:val="32"/>
        </w:rPr>
      </w:pPr>
      <w:bookmarkStart w:id="77" w:name="_Toc90880586"/>
      <w:r>
        <w:rPr>
          <w:rFonts w:hint="eastAsia" w:ascii="仿宋_GB2312" w:eastAsia="仿宋_GB2312"/>
          <w:b/>
          <w:sz w:val="32"/>
        </w:rPr>
        <w:t>二、</w:t>
      </w:r>
      <w:r>
        <w:rPr>
          <w:rFonts w:ascii="仿宋_GB2312" w:eastAsia="仿宋_GB2312"/>
          <w:b/>
          <w:sz w:val="32"/>
        </w:rPr>
        <w:t>强化组织保障</w:t>
      </w:r>
      <w:bookmarkEnd w:id="77"/>
    </w:p>
    <w:p>
      <w:pPr>
        <w:ind w:firstLine="640" w:firstLineChars="200"/>
        <w:rPr>
          <w:rFonts w:ascii="仿宋_GB2312" w:eastAsia="仿宋_GB2312"/>
          <w:sz w:val="32"/>
        </w:rPr>
      </w:pPr>
      <w:r>
        <w:rPr>
          <w:rFonts w:hint="eastAsia" w:ascii="仿宋_GB2312" w:eastAsia="仿宋_GB2312"/>
          <w:sz w:val="32"/>
        </w:rPr>
        <w:t>强化粮食安全党政同责，深入实施粮食安全行政首长责任制，在市发展和改革委员会（粮食和物资储备管理局）设立领导小组办公室，负责全市粮食流通与物资储备发展，统一规划、统一指挥、统一协调，推进粮食流通与物资储备发展有关工作。</w:t>
      </w:r>
    </w:p>
    <w:p>
      <w:pPr>
        <w:ind w:firstLine="640" w:firstLineChars="200"/>
        <w:rPr>
          <w:rFonts w:ascii="仿宋_GB2312" w:eastAsia="仿宋_GB2312"/>
          <w:sz w:val="32"/>
        </w:rPr>
      </w:pPr>
      <w:r>
        <w:rPr>
          <w:rFonts w:hint="eastAsia" w:ascii="仿宋_GB2312" w:eastAsia="仿宋_GB2312"/>
          <w:sz w:val="32"/>
        </w:rPr>
        <w:t>加强主要职能部门的协调联动，粮食和物资储备管理局负责协调推进粮食和物资储备行业发展有关工作、规划引导粮食产业园区建设、加强粮食产业运行监测和物资储备管理；发展改革、财政部门强化对粮食和物资储备行业重大政策、重大工程和重大项目的支持；农业部门加强优质粮食品种的种植推广，支持粮食产业化龙头企业申报评定；应急部门组织编制应急、救灾物资储备规划、品种目录和标准，根据需要下达动用指令。</w:t>
      </w:r>
    </w:p>
    <w:p>
      <w:pPr>
        <w:ind w:firstLine="640" w:firstLineChars="200"/>
        <w:rPr>
          <w:rFonts w:ascii="仿宋_GB2312" w:eastAsia="仿宋_GB2312"/>
          <w:sz w:val="32"/>
        </w:rPr>
      </w:pPr>
    </w:p>
    <w:p>
      <w:pPr>
        <w:outlineLvl w:val="1"/>
        <w:rPr>
          <w:rFonts w:ascii="仿宋_GB2312" w:eastAsia="仿宋_GB2312"/>
          <w:b/>
          <w:sz w:val="32"/>
        </w:rPr>
      </w:pPr>
      <w:bookmarkStart w:id="78" w:name="_Toc90880587"/>
      <w:r>
        <w:rPr>
          <w:rFonts w:hint="eastAsia" w:ascii="仿宋_GB2312" w:eastAsia="仿宋_GB2312"/>
          <w:b/>
          <w:sz w:val="32"/>
        </w:rPr>
        <w:t>三、创新融资机制</w:t>
      </w:r>
      <w:bookmarkEnd w:id="78"/>
    </w:p>
    <w:p>
      <w:pPr>
        <w:ind w:firstLine="640" w:firstLineChars="200"/>
        <w:rPr>
          <w:rFonts w:ascii="仿宋_GB2312" w:eastAsia="仿宋_GB2312"/>
          <w:sz w:val="32"/>
        </w:rPr>
      </w:pPr>
      <w:r>
        <w:rPr>
          <w:rFonts w:hint="eastAsia" w:ascii="仿宋_GB2312" w:eastAsia="仿宋_GB2312"/>
          <w:sz w:val="32"/>
        </w:rPr>
        <w:t>立足桂林市实际，建立稳定的财政投入机制。争取中央资金支持，落实地方财政配套，统筹使用粮食等重要农产品仓储物流专项、优质粮食工程等扶持政策。协调运用粮食安全风险基金和粮食安全专项基金，支持建立以地方政府为主导、财政性资金注入、商业银行实质性参与等多渠道筹措的粮食收购共同担保基金。</w:t>
      </w:r>
    </w:p>
    <w:p>
      <w:pPr>
        <w:ind w:firstLine="640" w:firstLineChars="200"/>
        <w:rPr>
          <w:rFonts w:ascii="仿宋_GB2312" w:eastAsia="仿宋_GB2312"/>
          <w:sz w:val="32"/>
        </w:rPr>
      </w:pPr>
      <w:r>
        <w:rPr>
          <w:rFonts w:hint="eastAsia" w:ascii="仿宋_GB2312" w:eastAsia="仿宋_GB2312"/>
          <w:sz w:val="32"/>
        </w:rPr>
        <w:t>积极拓宽企业融资渠道，为粮食收购、加工、仓储、物流等环节提供多元化金融服务。建立健全粮油产业融资担保机制，支持符合条件的粮食企业上市融资或在新三板挂牌，以及发行公司债券、企业债券和并购重组等，并鼓励和支持保险机构为粮食企业开展对外贸易和</w:t>
      </w:r>
      <w:r>
        <w:rPr>
          <w:rFonts w:ascii="仿宋_GB2312" w:eastAsia="仿宋_GB2312"/>
          <w:sz w:val="32"/>
        </w:rPr>
        <w:t>“</w:t>
      </w:r>
      <w:r>
        <w:rPr>
          <w:rFonts w:hint="eastAsia" w:ascii="仿宋_GB2312" w:eastAsia="仿宋_GB2312"/>
          <w:sz w:val="32"/>
        </w:rPr>
        <w:t>走出去</w:t>
      </w:r>
      <w:r>
        <w:rPr>
          <w:rFonts w:ascii="仿宋_GB2312" w:eastAsia="仿宋_GB2312"/>
          <w:sz w:val="32"/>
        </w:rPr>
        <w:t>”</w:t>
      </w:r>
      <w:r>
        <w:rPr>
          <w:rFonts w:hint="eastAsia" w:ascii="仿宋_GB2312" w:eastAsia="仿宋_GB2312"/>
          <w:sz w:val="32"/>
        </w:rPr>
        <w:t>提供保险服务。</w:t>
      </w:r>
    </w:p>
    <w:p>
      <w:pPr>
        <w:ind w:firstLine="640" w:firstLineChars="200"/>
        <w:rPr>
          <w:rFonts w:ascii="仿宋_GB2312" w:eastAsia="仿宋_GB2312"/>
          <w:sz w:val="32"/>
        </w:rPr>
      </w:pPr>
    </w:p>
    <w:p>
      <w:pPr>
        <w:outlineLvl w:val="1"/>
        <w:rPr>
          <w:rFonts w:ascii="仿宋_GB2312" w:eastAsia="仿宋_GB2312"/>
          <w:b/>
          <w:sz w:val="32"/>
        </w:rPr>
      </w:pPr>
      <w:bookmarkStart w:id="79" w:name="_Toc90880588"/>
      <w:r>
        <w:rPr>
          <w:rFonts w:hint="eastAsia" w:ascii="仿宋_GB2312" w:eastAsia="仿宋_GB2312"/>
          <w:b/>
          <w:sz w:val="32"/>
        </w:rPr>
        <w:t>四、注重规划落实</w:t>
      </w:r>
      <w:bookmarkEnd w:id="79"/>
    </w:p>
    <w:p>
      <w:pPr>
        <w:ind w:firstLine="640" w:firstLineChars="200"/>
        <w:rPr>
          <w:rFonts w:ascii="仿宋_GB2312" w:eastAsia="仿宋_GB2312"/>
          <w:sz w:val="32"/>
        </w:rPr>
      </w:pPr>
      <w:r>
        <w:rPr>
          <w:rFonts w:hint="eastAsia" w:ascii="仿宋_GB2312" w:eastAsia="仿宋_GB2312"/>
          <w:sz w:val="32"/>
        </w:rPr>
        <w:t>全面推进规划实施，将规划实施情况作为粮食安全责任制考核的重要内容。明确各项工作的责任领导、牵头部门及配合部门，聚焦重点任务，部署重点工作，明确工作步骤、任务分工和工作职责。</w:t>
      </w:r>
    </w:p>
    <w:p>
      <w:pPr>
        <w:ind w:firstLine="640" w:firstLineChars="200"/>
        <w:rPr>
          <w:rFonts w:ascii="仿宋_GB2312" w:eastAsia="仿宋_GB2312"/>
          <w:sz w:val="32"/>
        </w:rPr>
      </w:pPr>
      <w:r>
        <w:rPr>
          <w:rFonts w:hint="eastAsia" w:ascii="仿宋_GB2312" w:eastAsia="仿宋_GB2312"/>
          <w:sz w:val="32"/>
        </w:rPr>
        <w:t>细化考核清单，对每一项具体工作任务进行细化梳理，提出具体工作措施，制定实施方案，形成责任清单，以清单式、指标化促进工作落实。每年年底对重点项目经济效益、社会效益等开展综合评比，对标找差，有序推进项目建设，切实把各项工作任务落到实处。</w:t>
      </w:r>
    </w:p>
    <w:p>
      <w:pPr>
        <w:ind w:firstLine="640" w:firstLineChars="200"/>
        <w:rPr>
          <w:rFonts w:ascii="仿宋_GB2312" w:eastAsia="仿宋_GB2312"/>
          <w:sz w:val="32"/>
        </w:rPr>
      </w:pPr>
    </w:p>
    <w:p>
      <w:pPr>
        <w:ind w:firstLine="640" w:firstLineChars="200"/>
        <w:rPr>
          <w:rFonts w:ascii="仿宋_GB2312" w:eastAsia="仿宋_GB2312"/>
          <w:sz w:val="32"/>
        </w:rPr>
      </w:pPr>
    </w:p>
    <w:p>
      <w:pPr>
        <w:snapToGrid w:val="0"/>
        <w:spacing w:before="312" w:beforeLines="100" w:after="312" w:afterLines="100" w:line="360" w:lineRule="auto"/>
        <w:jc w:val="center"/>
        <w:outlineLvl w:val="0"/>
        <w:rPr>
          <w:rFonts w:ascii="仿宋_GB2312" w:eastAsia="仿宋_GB2312"/>
          <w:b/>
          <w:sz w:val="36"/>
          <w:szCs w:val="20"/>
        </w:rPr>
        <w:sectPr>
          <w:footerReference r:id="rId5" w:type="default"/>
          <w:pgSz w:w="11906" w:h="16838"/>
          <w:pgMar w:top="1440" w:right="1800" w:bottom="1440" w:left="1800" w:header="851" w:footer="992" w:gutter="0"/>
          <w:pgNumType w:start="1"/>
          <w:cols w:space="425" w:num="1"/>
          <w:docGrid w:type="lines" w:linePitch="312" w:charSpace="0"/>
        </w:sectPr>
      </w:pPr>
    </w:p>
    <w:p>
      <w:pPr>
        <w:snapToGrid w:val="0"/>
        <w:spacing w:before="326" w:beforeLines="100" w:after="326" w:afterLines="100" w:line="360" w:lineRule="auto"/>
        <w:jc w:val="center"/>
        <w:outlineLvl w:val="0"/>
        <w:rPr>
          <w:rFonts w:ascii="仿宋_GB2312" w:eastAsia="仿宋_GB2312"/>
          <w:b/>
          <w:sz w:val="36"/>
          <w:szCs w:val="20"/>
        </w:rPr>
      </w:pPr>
      <w:bookmarkStart w:id="80" w:name="_Toc90880589"/>
      <w:r>
        <w:rPr>
          <w:rFonts w:hint="eastAsia" w:ascii="仿宋_GB2312" w:eastAsia="仿宋_GB2312"/>
          <w:b/>
          <w:sz w:val="36"/>
          <w:szCs w:val="20"/>
        </w:rPr>
        <w:t>附件：桂林市粮食和物资储备行业“十四五”发展规划重点项目一览表</w:t>
      </w:r>
      <w:bookmarkEnd w:id="80"/>
    </w:p>
    <w:tbl>
      <w:tblPr>
        <w:tblStyle w:val="15"/>
        <w:tblW w:w="1401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7"/>
        <w:gridCol w:w="2465"/>
        <w:gridCol w:w="1465"/>
        <w:gridCol w:w="1422"/>
        <w:gridCol w:w="5792"/>
        <w:gridCol w:w="850"/>
        <w:gridCol w:w="15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507"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黑体"/>
                <w:sz w:val="28"/>
                <w:szCs w:val="28"/>
              </w:rPr>
            </w:pPr>
            <w:r>
              <w:rPr>
                <w:rFonts w:eastAsia="黑体"/>
                <w:sz w:val="28"/>
                <w:szCs w:val="28"/>
              </w:rPr>
              <w:t>序</w:t>
            </w:r>
          </w:p>
          <w:p>
            <w:pPr>
              <w:topLinePunct/>
              <w:snapToGrid w:val="0"/>
              <w:jc w:val="center"/>
              <w:rPr>
                <w:rFonts w:eastAsia="黑体"/>
                <w:sz w:val="28"/>
                <w:szCs w:val="28"/>
              </w:rPr>
            </w:pPr>
            <w:r>
              <w:rPr>
                <w:rFonts w:eastAsia="黑体"/>
                <w:sz w:val="28"/>
                <w:szCs w:val="28"/>
              </w:rPr>
              <w:t>号</w:t>
            </w:r>
          </w:p>
        </w:tc>
        <w:tc>
          <w:tcPr>
            <w:tcW w:w="2465"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黑体"/>
                <w:sz w:val="28"/>
                <w:szCs w:val="28"/>
              </w:rPr>
            </w:pPr>
            <w:r>
              <w:rPr>
                <w:rFonts w:eastAsia="黑体"/>
                <w:sz w:val="28"/>
                <w:szCs w:val="28"/>
              </w:rPr>
              <w:t>项目名称</w:t>
            </w:r>
          </w:p>
        </w:tc>
        <w:tc>
          <w:tcPr>
            <w:tcW w:w="1465"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黑体"/>
                <w:sz w:val="28"/>
                <w:szCs w:val="28"/>
              </w:rPr>
            </w:pPr>
            <w:r>
              <w:rPr>
                <w:rFonts w:eastAsia="黑体"/>
                <w:sz w:val="28"/>
                <w:szCs w:val="28"/>
              </w:rPr>
              <w:t>建设时间</w:t>
            </w:r>
          </w:p>
        </w:tc>
        <w:tc>
          <w:tcPr>
            <w:tcW w:w="1422"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黑体"/>
                <w:sz w:val="28"/>
                <w:szCs w:val="28"/>
              </w:rPr>
            </w:pPr>
            <w:r>
              <w:rPr>
                <w:rFonts w:eastAsia="黑体"/>
                <w:sz w:val="28"/>
                <w:szCs w:val="28"/>
              </w:rPr>
              <w:t>投资总额（万元）</w:t>
            </w:r>
          </w:p>
        </w:tc>
        <w:tc>
          <w:tcPr>
            <w:tcW w:w="5792" w:type="dxa"/>
            <w:tcBorders>
              <w:top w:val="single" w:color="auto" w:sz="8" w:space="0"/>
              <w:left w:val="single" w:color="auto" w:sz="8" w:space="0"/>
              <w:bottom w:val="single" w:color="auto" w:sz="8" w:space="0"/>
              <w:right w:val="single" w:color="auto" w:sz="8" w:space="0"/>
            </w:tcBorders>
            <w:vAlign w:val="center"/>
          </w:tcPr>
          <w:p>
            <w:pPr>
              <w:topLinePunct/>
              <w:snapToGrid w:val="0"/>
              <w:ind w:firstLine="560" w:firstLineChars="200"/>
              <w:jc w:val="center"/>
              <w:rPr>
                <w:rFonts w:eastAsia="黑体"/>
                <w:sz w:val="28"/>
                <w:szCs w:val="28"/>
              </w:rPr>
            </w:pPr>
            <w:r>
              <w:rPr>
                <w:rFonts w:eastAsia="黑体"/>
                <w:sz w:val="28"/>
                <w:szCs w:val="28"/>
              </w:rPr>
              <w:t>建设内容</w:t>
            </w:r>
          </w:p>
        </w:tc>
        <w:tc>
          <w:tcPr>
            <w:tcW w:w="850"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黑体"/>
                <w:sz w:val="28"/>
                <w:szCs w:val="28"/>
              </w:rPr>
            </w:pPr>
            <w:r>
              <w:rPr>
                <w:rFonts w:eastAsia="黑体"/>
                <w:sz w:val="28"/>
                <w:szCs w:val="28"/>
              </w:rPr>
              <w:t>类别</w:t>
            </w:r>
          </w:p>
        </w:tc>
        <w:tc>
          <w:tcPr>
            <w:tcW w:w="1510"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黑体"/>
                <w:sz w:val="28"/>
                <w:szCs w:val="28"/>
              </w:rPr>
            </w:pPr>
            <w:r>
              <w:rPr>
                <w:rFonts w:eastAsia="黑体"/>
                <w:sz w:val="28"/>
                <w:szCs w:val="28"/>
              </w:rPr>
              <w:t>项目责任方或业主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6" w:hRule="atLeast"/>
          <w:jc w:val="center"/>
        </w:trPr>
        <w:tc>
          <w:tcPr>
            <w:tcW w:w="507"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1</w:t>
            </w:r>
          </w:p>
        </w:tc>
        <w:tc>
          <w:tcPr>
            <w:tcW w:w="2465" w:type="dxa"/>
            <w:tcBorders>
              <w:top w:val="single" w:color="auto" w:sz="8" w:space="0"/>
              <w:left w:val="single" w:color="auto" w:sz="8" w:space="0"/>
              <w:bottom w:val="single" w:color="auto" w:sz="8" w:space="0"/>
              <w:right w:val="single" w:color="auto" w:sz="8" w:space="0"/>
            </w:tcBorders>
            <w:vAlign w:val="center"/>
          </w:tcPr>
          <w:p>
            <w:pPr>
              <w:snapToGrid w:val="0"/>
              <w:rPr>
                <w:rFonts w:eastAsia="仿宋_GB2312"/>
                <w:bCs/>
                <w:sz w:val="28"/>
                <w:szCs w:val="28"/>
              </w:rPr>
            </w:pPr>
            <w:r>
              <w:rPr>
                <w:rFonts w:hint="eastAsia" w:eastAsia="仿宋_GB2312"/>
                <w:sz w:val="28"/>
                <w:szCs w:val="28"/>
              </w:rPr>
              <w:t>全州粮食物流园区建设工程</w:t>
            </w:r>
          </w:p>
        </w:tc>
        <w:tc>
          <w:tcPr>
            <w:tcW w:w="1465"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2021</w:t>
            </w:r>
            <w:r>
              <w:rPr>
                <w:rFonts w:hint="eastAsia" w:eastAsia="仿宋_GB2312"/>
                <w:sz w:val="28"/>
                <w:szCs w:val="28"/>
              </w:rPr>
              <w:t>—</w:t>
            </w:r>
            <w:r>
              <w:rPr>
                <w:rFonts w:eastAsia="仿宋_GB2312"/>
                <w:sz w:val="28"/>
                <w:szCs w:val="28"/>
              </w:rPr>
              <w:t>2023</w:t>
            </w:r>
          </w:p>
        </w:tc>
        <w:tc>
          <w:tcPr>
            <w:tcW w:w="1422"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eastAsia="仿宋_GB2312"/>
                <w:sz w:val="28"/>
                <w:szCs w:val="28"/>
              </w:rPr>
              <w:t>60000</w:t>
            </w:r>
          </w:p>
        </w:tc>
        <w:tc>
          <w:tcPr>
            <w:tcW w:w="5792" w:type="dxa"/>
            <w:tcBorders>
              <w:top w:val="single" w:color="auto" w:sz="8" w:space="0"/>
              <w:left w:val="single" w:color="auto" w:sz="8" w:space="0"/>
              <w:bottom w:val="single" w:color="auto" w:sz="8" w:space="0"/>
              <w:right w:val="single" w:color="auto" w:sz="8" w:space="0"/>
            </w:tcBorders>
            <w:vAlign w:val="center"/>
          </w:tcPr>
          <w:p>
            <w:pPr>
              <w:snapToGrid w:val="0"/>
              <w:ind w:firstLine="560" w:firstLineChars="200"/>
              <w:rPr>
                <w:rFonts w:eastAsia="仿宋_GB2312"/>
                <w:sz w:val="28"/>
                <w:szCs w:val="28"/>
              </w:rPr>
            </w:pPr>
            <w:r>
              <w:rPr>
                <w:rFonts w:hint="eastAsia" w:eastAsia="仿宋_GB2312"/>
                <w:sz w:val="28"/>
                <w:szCs w:val="28"/>
              </w:rPr>
              <w:t>占地总面积为</w:t>
            </w:r>
            <w:r>
              <w:rPr>
                <w:rFonts w:eastAsia="仿宋_GB2312"/>
                <w:sz w:val="28"/>
                <w:szCs w:val="28"/>
              </w:rPr>
              <w:t>20万平方米，总建筑面积173730平方米，建设粮食仓库18幢，仓容13.7万吨，建设二条日产300吨大米加工厂，年加工量30万吨；建设二条日产240吨的烘干生产线，年烘干量10万吨；建设粮食物流贸易仓库及门面35000平方米；建设粮食交易信息综合大楼21225平方米。</w:t>
            </w:r>
          </w:p>
        </w:tc>
        <w:tc>
          <w:tcPr>
            <w:tcW w:w="85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粮储物流</w:t>
            </w:r>
          </w:p>
        </w:tc>
        <w:tc>
          <w:tcPr>
            <w:tcW w:w="151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全州县人民政府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6" w:hRule="atLeast"/>
          <w:jc w:val="center"/>
        </w:trPr>
        <w:tc>
          <w:tcPr>
            <w:tcW w:w="507"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2</w:t>
            </w:r>
          </w:p>
        </w:tc>
        <w:tc>
          <w:tcPr>
            <w:tcW w:w="2465" w:type="dxa"/>
            <w:tcBorders>
              <w:top w:val="single" w:color="auto" w:sz="8" w:space="0"/>
              <w:left w:val="single" w:color="auto" w:sz="8" w:space="0"/>
              <w:bottom w:val="single" w:color="auto" w:sz="8" w:space="0"/>
              <w:right w:val="single" w:color="auto" w:sz="8" w:space="0"/>
            </w:tcBorders>
            <w:vAlign w:val="center"/>
          </w:tcPr>
          <w:p>
            <w:pPr>
              <w:snapToGrid w:val="0"/>
              <w:rPr>
                <w:rFonts w:eastAsia="仿宋_GB2312"/>
                <w:bCs/>
                <w:sz w:val="28"/>
                <w:szCs w:val="28"/>
              </w:rPr>
            </w:pPr>
            <w:r>
              <w:rPr>
                <w:rFonts w:hint="eastAsia" w:eastAsia="仿宋_GB2312"/>
                <w:bCs/>
                <w:sz w:val="28"/>
                <w:szCs w:val="28"/>
              </w:rPr>
              <w:t>桂林市第一粮库搬迁项目</w:t>
            </w:r>
          </w:p>
        </w:tc>
        <w:tc>
          <w:tcPr>
            <w:tcW w:w="1465"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2021</w:t>
            </w:r>
            <w:r>
              <w:rPr>
                <w:rFonts w:hint="eastAsia" w:eastAsia="仿宋_GB2312"/>
                <w:sz w:val="28"/>
                <w:szCs w:val="28"/>
              </w:rPr>
              <w:t>—</w:t>
            </w:r>
            <w:r>
              <w:rPr>
                <w:rFonts w:eastAsia="仿宋_GB2312"/>
                <w:sz w:val="28"/>
                <w:szCs w:val="28"/>
              </w:rPr>
              <w:t>2023</w:t>
            </w:r>
          </w:p>
        </w:tc>
        <w:tc>
          <w:tcPr>
            <w:tcW w:w="1422"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eastAsia="仿宋_GB2312"/>
                <w:sz w:val="28"/>
                <w:szCs w:val="28"/>
              </w:rPr>
              <w:t>20000</w:t>
            </w:r>
          </w:p>
        </w:tc>
        <w:tc>
          <w:tcPr>
            <w:tcW w:w="5792" w:type="dxa"/>
            <w:tcBorders>
              <w:top w:val="single" w:color="auto" w:sz="8" w:space="0"/>
              <w:left w:val="single" w:color="auto" w:sz="8" w:space="0"/>
              <w:bottom w:val="single" w:color="auto" w:sz="8" w:space="0"/>
              <w:right w:val="single" w:color="auto" w:sz="8" w:space="0"/>
            </w:tcBorders>
            <w:vAlign w:val="center"/>
          </w:tcPr>
          <w:p>
            <w:pPr>
              <w:snapToGrid w:val="0"/>
              <w:ind w:firstLine="560" w:firstLineChars="200"/>
              <w:rPr>
                <w:rFonts w:eastAsia="仿宋_GB2312"/>
                <w:sz w:val="28"/>
                <w:szCs w:val="28"/>
              </w:rPr>
            </w:pPr>
            <w:r>
              <w:rPr>
                <w:rFonts w:hint="eastAsia" w:eastAsia="仿宋_GB2312"/>
                <w:sz w:val="28"/>
                <w:szCs w:val="28"/>
              </w:rPr>
              <w:t>总面积</w:t>
            </w:r>
            <w:r>
              <w:rPr>
                <w:rFonts w:eastAsia="仿宋_GB2312"/>
                <w:sz w:val="28"/>
                <w:szCs w:val="28"/>
              </w:rPr>
              <w:t>130亩，建设粮食平房仓2.2万平方米。充分发挥桂林市力源粮油食品集团有限公司和桂林市第一粮库长期形成的厂库合一的资源优势，桂林市第一粮库拟整体搬迁至桂林西货站附近地域，与力源粮油加工配送项目配套，打造桂林市粮食物流园区。</w:t>
            </w:r>
          </w:p>
        </w:tc>
        <w:tc>
          <w:tcPr>
            <w:tcW w:w="85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粮储物流</w:t>
            </w:r>
          </w:p>
        </w:tc>
        <w:tc>
          <w:tcPr>
            <w:tcW w:w="151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叠彩区人民政府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6" w:hRule="atLeast"/>
          <w:jc w:val="center"/>
        </w:trPr>
        <w:tc>
          <w:tcPr>
            <w:tcW w:w="507"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3</w:t>
            </w:r>
          </w:p>
        </w:tc>
        <w:tc>
          <w:tcPr>
            <w:tcW w:w="2465" w:type="dxa"/>
            <w:tcBorders>
              <w:top w:val="single" w:color="auto" w:sz="8" w:space="0"/>
              <w:left w:val="single" w:color="auto" w:sz="8" w:space="0"/>
              <w:bottom w:val="single" w:color="auto" w:sz="8" w:space="0"/>
              <w:right w:val="single" w:color="auto" w:sz="8" w:space="0"/>
            </w:tcBorders>
            <w:vAlign w:val="center"/>
          </w:tcPr>
          <w:p>
            <w:pPr>
              <w:snapToGrid w:val="0"/>
              <w:rPr>
                <w:rFonts w:eastAsia="仿宋_GB2312"/>
                <w:bCs/>
                <w:sz w:val="28"/>
                <w:szCs w:val="28"/>
              </w:rPr>
            </w:pPr>
            <w:r>
              <w:rPr>
                <w:rFonts w:hint="eastAsia" w:eastAsia="仿宋_GB2312"/>
                <w:bCs/>
                <w:sz w:val="28"/>
                <w:szCs w:val="28"/>
              </w:rPr>
              <w:t>桂林市军民融合军粮供应工程区域配送中心项目</w:t>
            </w:r>
          </w:p>
        </w:tc>
        <w:tc>
          <w:tcPr>
            <w:tcW w:w="1465"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2018</w:t>
            </w:r>
            <w:r>
              <w:rPr>
                <w:rFonts w:hint="eastAsia" w:eastAsia="仿宋_GB2312"/>
                <w:sz w:val="28"/>
                <w:szCs w:val="28"/>
              </w:rPr>
              <w:t>—</w:t>
            </w:r>
            <w:r>
              <w:rPr>
                <w:rFonts w:eastAsia="仿宋_GB2312"/>
                <w:sz w:val="28"/>
                <w:szCs w:val="28"/>
              </w:rPr>
              <w:t>2020</w:t>
            </w:r>
          </w:p>
        </w:tc>
        <w:tc>
          <w:tcPr>
            <w:tcW w:w="1422"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eastAsia="仿宋_GB2312"/>
                <w:sz w:val="28"/>
                <w:szCs w:val="28"/>
              </w:rPr>
              <w:t>3665</w:t>
            </w:r>
          </w:p>
        </w:tc>
        <w:tc>
          <w:tcPr>
            <w:tcW w:w="5792" w:type="dxa"/>
            <w:tcBorders>
              <w:top w:val="single" w:color="auto" w:sz="8" w:space="0"/>
              <w:left w:val="single" w:color="auto" w:sz="8" w:space="0"/>
              <w:bottom w:val="single" w:color="auto" w:sz="8" w:space="0"/>
              <w:right w:val="single" w:color="auto" w:sz="8" w:space="0"/>
            </w:tcBorders>
            <w:vAlign w:val="center"/>
          </w:tcPr>
          <w:p>
            <w:pPr>
              <w:snapToGrid w:val="0"/>
              <w:ind w:firstLine="560" w:firstLineChars="200"/>
              <w:rPr>
                <w:rFonts w:eastAsia="仿宋_GB2312"/>
                <w:sz w:val="28"/>
                <w:szCs w:val="28"/>
              </w:rPr>
            </w:pPr>
            <w:r>
              <w:rPr>
                <w:rFonts w:hint="eastAsia" w:eastAsia="仿宋_GB2312"/>
                <w:sz w:val="28"/>
                <w:szCs w:val="28"/>
              </w:rPr>
              <w:t>位于桂林空降兵学院南侧、长虹东路西侧老村筠园花卉盆景区域，东南面紧邻长虹新苑小区。建设大米和面条厂房</w:t>
            </w:r>
            <w:r>
              <w:rPr>
                <w:rFonts w:eastAsia="仿宋_GB2312"/>
                <w:sz w:val="28"/>
                <w:szCs w:val="28"/>
              </w:rPr>
              <w:t>1500平方米，建设信息化管理系统，配套购置和安装生产设施、运输设施、质检设施，配套建设给排水、电气、消防、通风等附属工程。</w:t>
            </w:r>
          </w:p>
        </w:tc>
        <w:tc>
          <w:tcPr>
            <w:tcW w:w="85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粮储物流</w:t>
            </w:r>
          </w:p>
        </w:tc>
        <w:tc>
          <w:tcPr>
            <w:tcW w:w="151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军粮供应站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6" w:hRule="atLeast"/>
          <w:jc w:val="center"/>
        </w:trPr>
        <w:tc>
          <w:tcPr>
            <w:tcW w:w="507"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4</w:t>
            </w:r>
          </w:p>
        </w:tc>
        <w:tc>
          <w:tcPr>
            <w:tcW w:w="2465" w:type="dxa"/>
            <w:tcBorders>
              <w:top w:val="single" w:color="auto" w:sz="8" w:space="0"/>
              <w:left w:val="single" w:color="auto" w:sz="8" w:space="0"/>
              <w:bottom w:val="single" w:color="auto" w:sz="8" w:space="0"/>
              <w:right w:val="single" w:color="auto" w:sz="8" w:space="0"/>
            </w:tcBorders>
            <w:vAlign w:val="center"/>
          </w:tcPr>
          <w:p>
            <w:pPr>
              <w:snapToGrid w:val="0"/>
              <w:rPr>
                <w:rFonts w:eastAsia="仿宋_GB2312"/>
                <w:bCs/>
                <w:sz w:val="28"/>
                <w:szCs w:val="28"/>
              </w:rPr>
            </w:pPr>
            <w:r>
              <w:rPr>
                <w:rFonts w:hint="eastAsia" w:eastAsia="仿宋_GB2312"/>
                <w:bCs/>
                <w:sz w:val="28"/>
                <w:szCs w:val="28"/>
              </w:rPr>
              <w:t>临桂区应急物资储备库建设项目</w:t>
            </w:r>
          </w:p>
        </w:tc>
        <w:tc>
          <w:tcPr>
            <w:tcW w:w="1465"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bCs/>
                <w:sz w:val="28"/>
                <w:szCs w:val="28"/>
              </w:rPr>
            </w:pPr>
            <w:r>
              <w:rPr>
                <w:rFonts w:eastAsia="仿宋_GB2312"/>
                <w:sz w:val="28"/>
                <w:szCs w:val="28"/>
              </w:rPr>
              <w:t>2021</w:t>
            </w:r>
            <w:r>
              <w:rPr>
                <w:rFonts w:hint="eastAsia" w:eastAsia="仿宋_GB2312"/>
                <w:sz w:val="28"/>
                <w:szCs w:val="28"/>
              </w:rPr>
              <w:t>—</w:t>
            </w:r>
            <w:r>
              <w:rPr>
                <w:rFonts w:eastAsia="仿宋_GB2312"/>
                <w:sz w:val="28"/>
                <w:szCs w:val="28"/>
              </w:rPr>
              <w:t>2023</w:t>
            </w:r>
          </w:p>
        </w:tc>
        <w:tc>
          <w:tcPr>
            <w:tcW w:w="1422"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2</w:t>
            </w:r>
            <w:r>
              <w:rPr>
                <w:rFonts w:eastAsia="仿宋_GB2312"/>
                <w:sz w:val="28"/>
                <w:szCs w:val="28"/>
              </w:rPr>
              <w:t>196</w:t>
            </w:r>
          </w:p>
        </w:tc>
        <w:tc>
          <w:tcPr>
            <w:tcW w:w="5792" w:type="dxa"/>
            <w:tcBorders>
              <w:top w:val="single" w:color="auto" w:sz="8" w:space="0"/>
              <w:left w:val="single" w:color="auto" w:sz="8" w:space="0"/>
              <w:bottom w:val="single" w:color="auto" w:sz="8" w:space="0"/>
              <w:right w:val="single" w:color="auto" w:sz="8" w:space="0"/>
            </w:tcBorders>
            <w:vAlign w:val="center"/>
          </w:tcPr>
          <w:p>
            <w:pPr>
              <w:snapToGrid w:val="0"/>
              <w:ind w:firstLine="560" w:firstLineChars="200"/>
              <w:rPr>
                <w:rFonts w:eastAsia="仿宋_GB2312"/>
                <w:sz w:val="28"/>
                <w:szCs w:val="28"/>
              </w:rPr>
            </w:pPr>
            <w:r>
              <w:rPr>
                <w:rFonts w:hint="eastAsia" w:eastAsia="仿宋_GB2312"/>
                <w:sz w:val="28"/>
                <w:szCs w:val="28"/>
              </w:rPr>
              <w:t>用地面积</w:t>
            </w:r>
            <w:r>
              <w:rPr>
                <w:rFonts w:eastAsia="仿宋_GB2312"/>
                <w:sz w:val="28"/>
                <w:szCs w:val="28"/>
              </w:rPr>
              <w:t>3000平米，</w:t>
            </w:r>
            <w:r>
              <w:rPr>
                <w:rFonts w:hint="eastAsia" w:eastAsia="仿宋_GB2312"/>
                <w:sz w:val="28"/>
                <w:szCs w:val="28"/>
              </w:rPr>
              <w:t>更新四塘库区，新建</w:t>
            </w:r>
            <w:r>
              <w:rPr>
                <w:rFonts w:eastAsia="仿宋_GB2312"/>
                <w:sz w:val="28"/>
                <w:szCs w:val="28"/>
              </w:rPr>
              <w:t>1.35万平米的仓库</w:t>
            </w:r>
            <w:r>
              <w:rPr>
                <w:rFonts w:hint="eastAsia" w:eastAsia="仿宋_GB2312"/>
                <w:sz w:val="28"/>
                <w:szCs w:val="28"/>
              </w:rPr>
              <w:t>，新建应急物资储备库，</w:t>
            </w:r>
            <w:r>
              <w:rPr>
                <w:rFonts w:eastAsia="仿宋_GB2312"/>
                <w:sz w:val="28"/>
                <w:szCs w:val="28"/>
              </w:rPr>
              <w:t>建筑面积2400平方米。</w:t>
            </w:r>
          </w:p>
        </w:tc>
        <w:tc>
          <w:tcPr>
            <w:tcW w:w="85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物资储备</w:t>
            </w:r>
          </w:p>
        </w:tc>
        <w:tc>
          <w:tcPr>
            <w:tcW w:w="151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临桂区人民政府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6" w:hRule="atLeast"/>
          <w:jc w:val="center"/>
        </w:trPr>
        <w:tc>
          <w:tcPr>
            <w:tcW w:w="507"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5</w:t>
            </w:r>
          </w:p>
        </w:tc>
        <w:tc>
          <w:tcPr>
            <w:tcW w:w="2465" w:type="dxa"/>
            <w:tcBorders>
              <w:top w:val="single" w:color="auto" w:sz="8" w:space="0"/>
              <w:left w:val="single" w:color="auto" w:sz="8" w:space="0"/>
              <w:bottom w:val="single" w:color="auto" w:sz="8" w:space="0"/>
              <w:right w:val="single" w:color="auto" w:sz="8" w:space="0"/>
            </w:tcBorders>
            <w:vAlign w:val="center"/>
          </w:tcPr>
          <w:p>
            <w:pPr>
              <w:snapToGrid w:val="0"/>
              <w:rPr>
                <w:rFonts w:eastAsia="仿宋_GB2312"/>
                <w:bCs/>
                <w:sz w:val="28"/>
                <w:szCs w:val="28"/>
              </w:rPr>
            </w:pPr>
            <w:r>
              <w:rPr>
                <w:rFonts w:hint="eastAsia" w:eastAsia="仿宋_GB2312"/>
                <w:bCs/>
                <w:sz w:val="28"/>
                <w:szCs w:val="28"/>
              </w:rPr>
              <w:t>桂林粮食自给和“中国好粮油”行动提升工程</w:t>
            </w:r>
          </w:p>
        </w:tc>
        <w:tc>
          <w:tcPr>
            <w:tcW w:w="1465"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2021</w:t>
            </w:r>
            <w:r>
              <w:rPr>
                <w:rFonts w:hint="eastAsia" w:eastAsia="仿宋_GB2312"/>
                <w:sz w:val="28"/>
                <w:szCs w:val="28"/>
              </w:rPr>
              <w:t>—</w:t>
            </w:r>
            <w:r>
              <w:rPr>
                <w:rFonts w:eastAsia="仿宋_GB2312"/>
                <w:sz w:val="28"/>
                <w:szCs w:val="28"/>
              </w:rPr>
              <w:t>2025</w:t>
            </w:r>
          </w:p>
        </w:tc>
        <w:tc>
          <w:tcPr>
            <w:tcW w:w="1422"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eastAsia="仿宋_GB2312"/>
                <w:bCs/>
                <w:sz w:val="28"/>
                <w:szCs w:val="28"/>
              </w:rPr>
              <w:t>5</w:t>
            </w:r>
            <w:r>
              <w:rPr>
                <w:rFonts w:eastAsia="仿宋_GB2312"/>
                <w:sz w:val="28"/>
                <w:szCs w:val="28"/>
              </w:rPr>
              <w:t>000</w:t>
            </w:r>
          </w:p>
        </w:tc>
        <w:tc>
          <w:tcPr>
            <w:tcW w:w="5792" w:type="dxa"/>
            <w:tcBorders>
              <w:top w:val="single" w:color="auto" w:sz="8" w:space="0"/>
              <w:left w:val="single" w:color="auto" w:sz="8" w:space="0"/>
              <w:bottom w:val="single" w:color="auto" w:sz="8" w:space="0"/>
              <w:right w:val="single" w:color="auto" w:sz="8" w:space="0"/>
            </w:tcBorders>
            <w:vAlign w:val="center"/>
          </w:tcPr>
          <w:p>
            <w:pPr>
              <w:snapToGrid w:val="0"/>
              <w:ind w:firstLine="560" w:firstLineChars="200"/>
              <w:rPr>
                <w:rFonts w:eastAsia="仿宋_GB2312"/>
                <w:sz w:val="28"/>
                <w:szCs w:val="28"/>
              </w:rPr>
            </w:pPr>
            <w:r>
              <w:rPr>
                <w:rFonts w:hint="eastAsia" w:eastAsia="仿宋_GB2312"/>
                <w:sz w:val="28"/>
                <w:szCs w:val="28"/>
              </w:rPr>
              <w:t>围绕桂林粮食产业提档升级、香米种植基地建设等，打造桂林粮食和香米区域公用品牌，形成桂林重要粮源基地建设及保障口粮安全相关方案和报告。打造桂林重要粮源基地，提升粮食自给率和供给质量，促进粮食产业升级，在全州、兴安、临桂等粮食主产县建设桂林香米种植基地</w:t>
            </w:r>
            <w:r>
              <w:rPr>
                <w:rFonts w:eastAsia="仿宋_GB2312"/>
                <w:sz w:val="28"/>
                <w:szCs w:val="28"/>
              </w:rPr>
              <w:t>40万亩</w:t>
            </w:r>
            <w:r>
              <w:rPr>
                <w:rFonts w:hint="eastAsia" w:eastAsia="仿宋_GB2312"/>
                <w:sz w:val="28"/>
                <w:szCs w:val="28"/>
              </w:rPr>
              <w:t>。</w:t>
            </w:r>
          </w:p>
          <w:p>
            <w:pPr>
              <w:snapToGrid w:val="0"/>
              <w:ind w:firstLine="560" w:firstLineChars="200"/>
              <w:rPr>
                <w:rFonts w:eastAsia="仿宋_GB2312"/>
                <w:sz w:val="28"/>
                <w:szCs w:val="28"/>
              </w:rPr>
            </w:pPr>
            <w:r>
              <w:rPr>
                <w:rFonts w:hint="eastAsia" w:eastAsia="仿宋_GB2312"/>
                <w:sz w:val="28"/>
                <w:szCs w:val="28"/>
              </w:rPr>
              <w:t>积极引导和培育桂林粮食企业参与广西“中国好粮油”行动计划（二期项目），带动桂林粮食产业实现“优粮优产、优粮优购、优粮优储、优粮优加、优粮优销”，促进粮食产业兴旺、农民增收、企业增效。</w:t>
            </w:r>
          </w:p>
        </w:tc>
        <w:tc>
          <w:tcPr>
            <w:tcW w:w="85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粮食产业</w:t>
            </w:r>
          </w:p>
        </w:tc>
        <w:tc>
          <w:tcPr>
            <w:tcW w:w="151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市粮食和物资储备局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6" w:hRule="atLeast"/>
          <w:jc w:val="center"/>
        </w:trPr>
        <w:tc>
          <w:tcPr>
            <w:tcW w:w="507"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6</w:t>
            </w:r>
          </w:p>
        </w:tc>
        <w:tc>
          <w:tcPr>
            <w:tcW w:w="2465" w:type="dxa"/>
            <w:tcBorders>
              <w:top w:val="single" w:color="auto" w:sz="8" w:space="0"/>
              <w:left w:val="single" w:color="auto" w:sz="8" w:space="0"/>
              <w:bottom w:val="single" w:color="auto" w:sz="8" w:space="0"/>
              <w:right w:val="single" w:color="auto" w:sz="8" w:space="0"/>
            </w:tcBorders>
            <w:vAlign w:val="center"/>
          </w:tcPr>
          <w:p>
            <w:pPr>
              <w:snapToGrid w:val="0"/>
              <w:rPr>
                <w:rFonts w:eastAsia="仿宋_GB2312"/>
                <w:bCs/>
                <w:sz w:val="28"/>
                <w:szCs w:val="28"/>
              </w:rPr>
            </w:pPr>
            <w:r>
              <w:rPr>
                <w:rFonts w:hint="eastAsia" w:eastAsia="仿宋_GB2312"/>
                <w:bCs/>
                <w:sz w:val="28"/>
                <w:szCs w:val="28"/>
              </w:rPr>
              <w:t>桂林力源粮油食品综合加工物流项目</w:t>
            </w:r>
          </w:p>
        </w:tc>
        <w:tc>
          <w:tcPr>
            <w:tcW w:w="1465"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2021-2022</w:t>
            </w:r>
          </w:p>
        </w:tc>
        <w:tc>
          <w:tcPr>
            <w:tcW w:w="1422"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eastAsia="仿宋_GB2312"/>
                <w:sz w:val="28"/>
                <w:szCs w:val="28"/>
              </w:rPr>
              <w:t xml:space="preserve">31000 </w:t>
            </w:r>
          </w:p>
        </w:tc>
        <w:tc>
          <w:tcPr>
            <w:tcW w:w="5792" w:type="dxa"/>
            <w:tcBorders>
              <w:top w:val="single" w:color="auto" w:sz="8" w:space="0"/>
              <w:left w:val="single" w:color="auto" w:sz="8" w:space="0"/>
              <w:bottom w:val="single" w:color="auto" w:sz="8" w:space="0"/>
              <w:right w:val="single" w:color="auto" w:sz="8" w:space="0"/>
            </w:tcBorders>
            <w:vAlign w:val="center"/>
          </w:tcPr>
          <w:p>
            <w:pPr>
              <w:snapToGrid w:val="0"/>
              <w:ind w:firstLine="560" w:firstLineChars="200"/>
              <w:rPr>
                <w:rFonts w:eastAsia="仿宋_GB2312"/>
                <w:sz w:val="28"/>
                <w:szCs w:val="28"/>
              </w:rPr>
            </w:pPr>
            <w:r>
              <w:rPr>
                <w:rFonts w:eastAsia="仿宋_GB2312"/>
                <w:sz w:val="28"/>
                <w:szCs w:val="28"/>
              </w:rPr>
              <w:t>项目总占地221.3亩，主要建设粮食物流中转区、粮食仓储区、粮油农产品加工配送区、副产品加工利用区等。</w:t>
            </w:r>
          </w:p>
        </w:tc>
        <w:tc>
          <w:tcPr>
            <w:tcW w:w="85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粮食产业</w:t>
            </w:r>
          </w:p>
        </w:tc>
        <w:tc>
          <w:tcPr>
            <w:tcW w:w="151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eastAsia="仿宋_GB2312"/>
                <w:sz w:val="28"/>
                <w:szCs w:val="28"/>
              </w:rPr>
              <w:t>桂林力源粮油食品集团有限公司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6" w:hRule="atLeast"/>
          <w:jc w:val="center"/>
        </w:trPr>
        <w:tc>
          <w:tcPr>
            <w:tcW w:w="507"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7</w:t>
            </w:r>
          </w:p>
        </w:tc>
        <w:tc>
          <w:tcPr>
            <w:tcW w:w="2465" w:type="dxa"/>
            <w:tcBorders>
              <w:top w:val="single" w:color="auto" w:sz="8" w:space="0"/>
              <w:left w:val="single" w:color="auto" w:sz="8" w:space="0"/>
              <w:bottom w:val="single" w:color="auto" w:sz="8" w:space="0"/>
              <w:right w:val="single" w:color="auto" w:sz="8" w:space="0"/>
            </w:tcBorders>
            <w:vAlign w:val="center"/>
          </w:tcPr>
          <w:p>
            <w:pPr>
              <w:snapToGrid w:val="0"/>
              <w:rPr>
                <w:rFonts w:eastAsia="仿宋_GB2312"/>
                <w:bCs/>
                <w:sz w:val="28"/>
                <w:szCs w:val="28"/>
              </w:rPr>
            </w:pPr>
            <w:r>
              <w:rPr>
                <w:rFonts w:hint="eastAsia" w:eastAsia="仿宋_GB2312"/>
                <w:bCs/>
                <w:sz w:val="28"/>
                <w:szCs w:val="28"/>
              </w:rPr>
              <w:t>灵川县应急物资储备库项目</w:t>
            </w:r>
          </w:p>
        </w:tc>
        <w:tc>
          <w:tcPr>
            <w:tcW w:w="1465"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2021-2025</w:t>
            </w:r>
          </w:p>
        </w:tc>
        <w:tc>
          <w:tcPr>
            <w:tcW w:w="1422"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eastAsia="仿宋_GB2312"/>
                <w:sz w:val="28"/>
                <w:szCs w:val="28"/>
              </w:rPr>
              <w:t xml:space="preserve">362 </w:t>
            </w:r>
          </w:p>
        </w:tc>
        <w:tc>
          <w:tcPr>
            <w:tcW w:w="5792" w:type="dxa"/>
            <w:tcBorders>
              <w:top w:val="single" w:color="auto" w:sz="8" w:space="0"/>
              <w:left w:val="single" w:color="auto" w:sz="8" w:space="0"/>
              <w:bottom w:val="single" w:color="auto" w:sz="8" w:space="0"/>
              <w:right w:val="single" w:color="auto" w:sz="8" w:space="0"/>
            </w:tcBorders>
            <w:vAlign w:val="center"/>
          </w:tcPr>
          <w:p>
            <w:pPr>
              <w:snapToGrid w:val="0"/>
              <w:ind w:firstLine="560" w:firstLineChars="200"/>
              <w:rPr>
                <w:rFonts w:eastAsia="仿宋_GB2312"/>
                <w:sz w:val="28"/>
                <w:szCs w:val="28"/>
              </w:rPr>
            </w:pPr>
            <w:r>
              <w:rPr>
                <w:rFonts w:eastAsia="仿宋_GB2312"/>
                <w:sz w:val="28"/>
                <w:szCs w:val="28"/>
              </w:rPr>
              <w:t>应急物资储备库，建筑面积800平方米，具备自然灾害救助物资、应急救援物资装备、森林防火物资、防汛抗旱物资和装备收储、保管、调拨等功能于一体，为应对各类自然灾害、公共安全和突发事件发生提供支持。</w:t>
            </w:r>
          </w:p>
        </w:tc>
        <w:tc>
          <w:tcPr>
            <w:tcW w:w="85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物资储备</w:t>
            </w:r>
          </w:p>
        </w:tc>
        <w:tc>
          <w:tcPr>
            <w:tcW w:w="151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eastAsia="仿宋_GB2312"/>
                <w:sz w:val="28"/>
                <w:szCs w:val="28"/>
              </w:rPr>
              <w:t>灵川县人民政府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6" w:hRule="atLeast"/>
          <w:jc w:val="center"/>
        </w:trPr>
        <w:tc>
          <w:tcPr>
            <w:tcW w:w="507"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8</w:t>
            </w:r>
          </w:p>
        </w:tc>
        <w:tc>
          <w:tcPr>
            <w:tcW w:w="2465" w:type="dxa"/>
            <w:tcBorders>
              <w:top w:val="single" w:color="auto" w:sz="8" w:space="0"/>
              <w:left w:val="single" w:color="auto" w:sz="8" w:space="0"/>
              <w:bottom w:val="single" w:color="auto" w:sz="8" w:space="0"/>
              <w:right w:val="single" w:color="auto" w:sz="8" w:space="0"/>
            </w:tcBorders>
            <w:vAlign w:val="center"/>
          </w:tcPr>
          <w:p>
            <w:pPr>
              <w:snapToGrid w:val="0"/>
              <w:rPr>
                <w:rFonts w:eastAsia="仿宋_GB2312"/>
                <w:bCs/>
                <w:sz w:val="28"/>
                <w:szCs w:val="28"/>
              </w:rPr>
            </w:pPr>
            <w:r>
              <w:rPr>
                <w:rFonts w:hint="eastAsia" w:eastAsia="仿宋_GB2312"/>
                <w:bCs/>
                <w:sz w:val="28"/>
                <w:szCs w:val="28"/>
              </w:rPr>
              <w:t>兴安县储备库建设和提升项目</w:t>
            </w:r>
          </w:p>
        </w:tc>
        <w:tc>
          <w:tcPr>
            <w:tcW w:w="1465" w:type="dxa"/>
            <w:tcBorders>
              <w:top w:val="single" w:color="auto" w:sz="8" w:space="0"/>
              <w:left w:val="single" w:color="auto" w:sz="8" w:space="0"/>
              <w:bottom w:val="single" w:color="auto" w:sz="8" w:space="0"/>
              <w:right w:val="single" w:color="auto" w:sz="8" w:space="0"/>
            </w:tcBorders>
            <w:vAlign w:val="center"/>
          </w:tcPr>
          <w:p>
            <w:pPr>
              <w:topLinePunct/>
              <w:snapToGrid w:val="0"/>
              <w:jc w:val="center"/>
              <w:rPr>
                <w:rFonts w:eastAsia="仿宋_GB2312"/>
                <w:sz w:val="28"/>
                <w:szCs w:val="28"/>
              </w:rPr>
            </w:pPr>
            <w:r>
              <w:rPr>
                <w:rFonts w:eastAsia="仿宋_GB2312"/>
                <w:sz w:val="28"/>
                <w:szCs w:val="28"/>
              </w:rPr>
              <w:t>2021-2025</w:t>
            </w:r>
          </w:p>
        </w:tc>
        <w:tc>
          <w:tcPr>
            <w:tcW w:w="1422"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2</w:t>
            </w:r>
            <w:r>
              <w:rPr>
                <w:rFonts w:eastAsia="仿宋_GB2312"/>
                <w:sz w:val="28"/>
                <w:szCs w:val="28"/>
              </w:rPr>
              <w:t>600</w:t>
            </w:r>
          </w:p>
        </w:tc>
        <w:tc>
          <w:tcPr>
            <w:tcW w:w="5792" w:type="dxa"/>
            <w:tcBorders>
              <w:top w:val="single" w:color="auto" w:sz="8" w:space="0"/>
              <w:left w:val="single" w:color="auto" w:sz="8" w:space="0"/>
              <w:bottom w:val="single" w:color="auto" w:sz="8" w:space="0"/>
              <w:right w:val="single" w:color="auto" w:sz="8" w:space="0"/>
            </w:tcBorders>
            <w:vAlign w:val="center"/>
          </w:tcPr>
          <w:p>
            <w:pPr>
              <w:snapToGrid w:val="0"/>
              <w:ind w:firstLine="560" w:firstLineChars="200"/>
              <w:rPr>
                <w:rFonts w:eastAsia="仿宋_GB2312"/>
                <w:sz w:val="28"/>
                <w:szCs w:val="28"/>
              </w:rPr>
            </w:pPr>
            <w:r>
              <w:rPr>
                <w:rFonts w:hint="eastAsia" w:eastAsia="仿宋_GB2312"/>
                <w:sz w:val="28"/>
                <w:szCs w:val="28"/>
              </w:rPr>
              <w:t>智能化升级</w:t>
            </w:r>
            <w:r>
              <w:rPr>
                <w:rFonts w:eastAsia="仿宋_GB2312"/>
                <w:sz w:val="28"/>
                <w:szCs w:val="28"/>
              </w:rPr>
              <w:t>1.96万吨仓容</w:t>
            </w:r>
            <w:r>
              <w:rPr>
                <w:rFonts w:hint="eastAsia" w:eastAsia="仿宋_GB2312"/>
                <w:sz w:val="28"/>
                <w:szCs w:val="28"/>
              </w:rPr>
              <w:t>，扩建仓容</w:t>
            </w:r>
            <w:r>
              <w:rPr>
                <w:rFonts w:eastAsia="仿宋_GB2312"/>
                <w:sz w:val="28"/>
                <w:szCs w:val="28"/>
              </w:rPr>
              <w:t>1.2万吨。</w:t>
            </w:r>
          </w:p>
        </w:tc>
        <w:tc>
          <w:tcPr>
            <w:tcW w:w="85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粮储物流</w:t>
            </w:r>
          </w:p>
        </w:tc>
        <w:tc>
          <w:tcPr>
            <w:tcW w:w="1510" w:type="dxa"/>
            <w:tcBorders>
              <w:top w:val="single" w:color="auto" w:sz="8" w:space="0"/>
              <w:left w:val="single" w:color="auto" w:sz="8" w:space="0"/>
              <w:bottom w:val="single" w:color="auto" w:sz="8" w:space="0"/>
              <w:right w:val="single" w:color="auto" w:sz="8" w:space="0"/>
            </w:tcBorders>
            <w:vAlign w:val="center"/>
          </w:tcPr>
          <w:p>
            <w:pPr>
              <w:snapToGrid w:val="0"/>
              <w:jc w:val="center"/>
              <w:rPr>
                <w:rFonts w:eastAsia="仿宋_GB2312"/>
                <w:sz w:val="28"/>
                <w:szCs w:val="28"/>
              </w:rPr>
            </w:pPr>
            <w:r>
              <w:rPr>
                <w:rFonts w:hint="eastAsia" w:eastAsia="仿宋_GB2312"/>
                <w:sz w:val="28"/>
                <w:szCs w:val="28"/>
              </w:rPr>
              <w:t>兴安</w:t>
            </w:r>
            <w:r>
              <w:rPr>
                <w:rFonts w:eastAsia="仿宋_GB2312"/>
                <w:sz w:val="28"/>
                <w:szCs w:val="28"/>
              </w:rPr>
              <w:t>县人民政府</w:t>
            </w:r>
          </w:p>
        </w:tc>
      </w:tr>
    </w:tbl>
    <w:p>
      <w:pPr>
        <w:snapToGrid w:val="0"/>
        <w:rPr>
          <w:rFonts w:ascii="仿宋_GB2312" w:eastAsia="仿宋_GB2312"/>
          <w:sz w:val="16"/>
        </w:rPr>
      </w:pP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等线">
    <w:altName w:val="宋体"/>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574156"/>
    </w:sdtPr>
    <w:sdtContent>
      <w:p>
        <w:pPr>
          <w:pStyle w:val="7"/>
          <w:jc w:val="center"/>
        </w:pPr>
        <w:r>
          <w:fldChar w:fldCharType="begin"/>
        </w:r>
        <w:r>
          <w:instrText xml:space="preserve">PAGE   \* MERGEFORMAT</w:instrText>
        </w:r>
        <w:r>
          <w:fldChar w:fldCharType="separate"/>
        </w:r>
        <w:r>
          <w:rPr>
            <w:lang w:val="zh-CN"/>
          </w:rPr>
          <w:t>III</w:t>
        </w:r>
        <w: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1136060"/>
    </w:sdtPr>
    <w:sdtContent>
      <w:p>
        <w:pPr>
          <w:pStyle w:val="7"/>
          <w:jc w:val="center"/>
        </w:pPr>
        <w:r>
          <w:fldChar w:fldCharType="begin"/>
        </w:r>
        <w:r>
          <w:instrText xml:space="preserve">PAGE   \* MERGEFORMAT</w:instrText>
        </w:r>
        <w:r>
          <w:fldChar w:fldCharType="separate"/>
        </w:r>
        <w:r>
          <w:rPr>
            <w:lang w:val="zh-CN"/>
          </w:rPr>
          <w:t>17</w:t>
        </w:r>
        <w:r>
          <w:fldChar w:fldCharType="end"/>
        </w:r>
      </w:p>
    </w:sdtContent>
  </w:sdt>
  <w:p>
    <w:pPr>
      <w:pStyle w:val="7"/>
    </w:pPr>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EE"/>
    <w:rsid w:val="00007494"/>
    <w:rsid w:val="00011436"/>
    <w:rsid w:val="00016CC0"/>
    <w:rsid w:val="00020E71"/>
    <w:rsid w:val="00043180"/>
    <w:rsid w:val="00043759"/>
    <w:rsid w:val="0004399E"/>
    <w:rsid w:val="00046F19"/>
    <w:rsid w:val="00051F74"/>
    <w:rsid w:val="00063893"/>
    <w:rsid w:val="00064E37"/>
    <w:rsid w:val="00066191"/>
    <w:rsid w:val="00067E45"/>
    <w:rsid w:val="0007057A"/>
    <w:rsid w:val="00072C85"/>
    <w:rsid w:val="00074602"/>
    <w:rsid w:val="00080936"/>
    <w:rsid w:val="00081E1F"/>
    <w:rsid w:val="00090006"/>
    <w:rsid w:val="00092E84"/>
    <w:rsid w:val="000A00E8"/>
    <w:rsid w:val="000B2993"/>
    <w:rsid w:val="000B5AD1"/>
    <w:rsid w:val="000B7CB6"/>
    <w:rsid w:val="000C3873"/>
    <w:rsid w:val="000C51DD"/>
    <w:rsid w:val="000C67CE"/>
    <w:rsid w:val="000C6C13"/>
    <w:rsid w:val="000D6A58"/>
    <w:rsid w:val="000E0B0B"/>
    <w:rsid w:val="000E0F09"/>
    <w:rsid w:val="000E34EC"/>
    <w:rsid w:val="000E46A7"/>
    <w:rsid w:val="000E5740"/>
    <w:rsid w:val="0010248B"/>
    <w:rsid w:val="0010265C"/>
    <w:rsid w:val="00103C6B"/>
    <w:rsid w:val="00103E77"/>
    <w:rsid w:val="001062FD"/>
    <w:rsid w:val="00106A7F"/>
    <w:rsid w:val="00107941"/>
    <w:rsid w:val="001157D8"/>
    <w:rsid w:val="00115C82"/>
    <w:rsid w:val="0011640F"/>
    <w:rsid w:val="00117A71"/>
    <w:rsid w:val="00123246"/>
    <w:rsid w:val="00123E93"/>
    <w:rsid w:val="00132250"/>
    <w:rsid w:val="00136F80"/>
    <w:rsid w:val="00141E85"/>
    <w:rsid w:val="00145501"/>
    <w:rsid w:val="0014683B"/>
    <w:rsid w:val="00151F70"/>
    <w:rsid w:val="0016049C"/>
    <w:rsid w:val="0016636F"/>
    <w:rsid w:val="00181B9A"/>
    <w:rsid w:val="001826A2"/>
    <w:rsid w:val="001852C6"/>
    <w:rsid w:val="0018767F"/>
    <w:rsid w:val="00190FBC"/>
    <w:rsid w:val="001919A4"/>
    <w:rsid w:val="001A3996"/>
    <w:rsid w:val="001A640F"/>
    <w:rsid w:val="001A6C11"/>
    <w:rsid w:val="001A739F"/>
    <w:rsid w:val="001B10F4"/>
    <w:rsid w:val="001B583E"/>
    <w:rsid w:val="001B5957"/>
    <w:rsid w:val="001C0F51"/>
    <w:rsid w:val="001C10C4"/>
    <w:rsid w:val="001C5E17"/>
    <w:rsid w:val="001C623C"/>
    <w:rsid w:val="001D1E32"/>
    <w:rsid w:val="001D292D"/>
    <w:rsid w:val="001D33F6"/>
    <w:rsid w:val="001D3F60"/>
    <w:rsid w:val="001D6FF8"/>
    <w:rsid w:val="001D7541"/>
    <w:rsid w:val="001D7F64"/>
    <w:rsid w:val="001E236F"/>
    <w:rsid w:val="001E3AF1"/>
    <w:rsid w:val="001E3BA7"/>
    <w:rsid w:val="001E4499"/>
    <w:rsid w:val="001E45A7"/>
    <w:rsid w:val="001F1639"/>
    <w:rsid w:val="001F2C8F"/>
    <w:rsid w:val="001F7764"/>
    <w:rsid w:val="0020658E"/>
    <w:rsid w:val="00206863"/>
    <w:rsid w:val="002109BF"/>
    <w:rsid w:val="00215CCD"/>
    <w:rsid w:val="00216213"/>
    <w:rsid w:val="00220C6D"/>
    <w:rsid w:val="00222B70"/>
    <w:rsid w:val="00223A14"/>
    <w:rsid w:val="002330E5"/>
    <w:rsid w:val="00234E77"/>
    <w:rsid w:val="00237ECD"/>
    <w:rsid w:val="00237FE0"/>
    <w:rsid w:val="00241942"/>
    <w:rsid w:val="00241C20"/>
    <w:rsid w:val="002459B8"/>
    <w:rsid w:val="0024698E"/>
    <w:rsid w:val="002470C4"/>
    <w:rsid w:val="00250600"/>
    <w:rsid w:val="002526D0"/>
    <w:rsid w:val="002616CA"/>
    <w:rsid w:val="0026517E"/>
    <w:rsid w:val="00273347"/>
    <w:rsid w:val="00282039"/>
    <w:rsid w:val="0028571E"/>
    <w:rsid w:val="0028681E"/>
    <w:rsid w:val="00290BC0"/>
    <w:rsid w:val="00291660"/>
    <w:rsid w:val="00296E01"/>
    <w:rsid w:val="0029758F"/>
    <w:rsid w:val="00297DC5"/>
    <w:rsid w:val="002B0871"/>
    <w:rsid w:val="002B2BD5"/>
    <w:rsid w:val="002B4FAA"/>
    <w:rsid w:val="002C0777"/>
    <w:rsid w:val="002C12A6"/>
    <w:rsid w:val="002C2C15"/>
    <w:rsid w:val="002D008B"/>
    <w:rsid w:val="002D03EB"/>
    <w:rsid w:val="002D0CED"/>
    <w:rsid w:val="002D5942"/>
    <w:rsid w:val="002D6833"/>
    <w:rsid w:val="002E0A11"/>
    <w:rsid w:val="002E5163"/>
    <w:rsid w:val="002E5D9A"/>
    <w:rsid w:val="002E689A"/>
    <w:rsid w:val="002F6852"/>
    <w:rsid w:val="00300FE7"/>
    <w:rsid w:val="00302BBB"/>
    <w:rsid w:val="00304A82"/>
    <w:rsid w:val="0031081C"/>
    <w:rsid w:val="003131B5"/>
    <w:rsid w:val="0031426D"/>
    <w:rsid w:val="003160D2"/>
    <w:rsid w:val="003242EF"/>
    <w:rsid w:val="003247A3"/>
    <w:rsid w:val="00330E1A"/>
    <w:rsid w:val="00332233"/>
    <w:rsid w:val="003438E9"/>
    <w:rsid w:val="00344F4D"/>
    <w:rsid w:val="00346ACC"/>
    <w:rsid w:val="00352154"/>
    <w:rsid w:val="00352ABA"/>
    <w:rsid w:val="00353A7C"/>
    <w:rsid w:val="00353AEC"/>
    <w:rsid w:val="00355025"/>
    <w:rsid w:val="00357920"/>
    <w:rsid w:val="00361388"/>
    <w:rsid w:val="0036190D"/>
    <w:rsid w:val="0036491D"/>
    <w:rsid w:val="0036574A"/>
    <w:rsid w:val="00366BF4"/>
    <w:rsid w:val="00370E15"/>
    <w:rsid w:val="00376E78"/>
    <w:rsid w:val="00386429"/>
    <w:rsid w:val="00392903"/>
    <w:rsid w:val="00392C01"/>
    <w:rsid w:val="00396A40"/>
    <w:rsid w:val="003B2817"/>
    <w:rsid w:val="003B6750"/>
    <w:rsid w:val="003C202A"/>
    <w:rsid w:val="003C34C1"/>
    <w:rsid w:val="003C4D8A"/>
    <w:rsid w:val="003C6622"/>
    <w:rsid w:val="003C7EFA"/>
    <w:rsid w:val="003D0CE1"/>
    <w:rsid w:val="003D31F7"/>
    <w:rsid w:val="003D37B5"/>
    <w:rsid w:val="003D6E06"/>
    <w:rsid w:val="003E116B"/>
    <w:rsid w:val="003E4D58"/>
    <w:rsid w:val="003E58C1"/>
    <w:rsid w:val="003F1DFE"/>
    <w:rsid w:val="003F460D"/>
    <w:rsid w:val="004028D5"/>
    <w:rsid w:val="004052C2"/>
    <w:rsid w:val="00405F96"/>
    <w:rsid w:val="004128A8"/>
    <w:rsid w:val="00415598"/>
    <w:rsid w:val="0042319E"/>
    <w:rsid w:val="00424047"/>
    <w:rsid w:val="00432023"/>
    <w:rsid w:val="00437CDC"/>
    <w:rsid w:val="0044118A"/>
    <w:rsid w:val="00444941"/>
    <w:rsid w:val="00445129"/>
    <w:rsid w:val="00447BC8"/>
    <w:rsid w:val="00451454"/>
    <w:rsid w:val="00451B98"/>
    <w:rsid w:val="00452321"/>
    <w:rsid w:val="00453F45"/>
    <w:rsid w:val="00455768"/>
    <w:rsid w:val="00460F85"/>
    <w:rsid w:val="0046101B"/>
    <w:rsid w:val="004626CB"/>
    <w:rsid w:val="00462DE4"/>
    <w:rsid w:val="00465914"/>
    <w:rsid w:val="00470087"/>
    <w:rsid w:val="0047280A"/>
    <w:rsid w:val="0047460B"/>
    <w:rsid w:val="00476236"/>
    <w:rsid w:val="00476E00"/>
    <w:rsid w:val="00480616"/>
    <w:rsid w:val="00484C39"/>
    <w:rsid w:val="004879AB"/>
    <w:rsid w:val="00487AA2"/>
    <w:rsid w:val="00490217"/>
    <w:rsid w:val="004919E9"/>
    <w:rsid w:val="004965A9"/>
    <w:rsid w:val="004971A9"/>
    <w:rsid w:val="004A1913"/>
    <w:rsid w:val="004A3D37"/>
    <w:rsid w:val="004A3E74"/>
    <w:rsid w:val="004A5830"/>
    <w:rsid w:val="004C0056"/>
    <w:rsid w:val="004C4D5F"/>
    <w:rsid w:val="004C69A9"/>
    <w:rsid w:val="004C7149"/>
    <w:rsid w:val="004C7E1D"/>
    <w:rsid w:val="004D0837"/>
    <w:rsid w:val="004D0B88"/>
    <w:rsid w:val="004D3638"/>
    <w:rsid w:val="004D3BD3"/>
    <w:rsid w:val="004D4F73"/>
    <w:rsid w:val="004D6D6B"/>
    <w:rsid w:val="004E03E5"/>
    <w:rsid w:val="004E1A79"/>
    <w:rsid w:val="004E2716"/>
    <w:rsid w:val="004F2DF2"/>
    <w:rsid w:val="004F3BF4"/>
    <w:rsid w:val="004F6787"/>
    <w:rsid w:val="004F7380"/>
    <w:rsid w:val="005013BB"/>
    <w:rsid w:val="00501A0D"/>
    <w:rsid w:val="005049D9"/>
    <w:rsid w:val="00506C17"/>
    <w:rsid w:val="00507429"/>
    <w:rsid w:val="00507654"/>
    <w:rsid w:val="00515D39"/>
    <w:rsid w:val="00516BD0"/>
    <w:rsid w:val="005170A9"/>
    <w:rsid w:val="00524FD0"/>
    <w:rsid w:val="005265B5"/>
    <w:rsid w:val="00541430"/>
    <w:rsid w:val="00544EC3"/>
    <w:rsid w:val="00550832"/>
    <w:rsid w:val="00553C17"/>
    <w:rsid w:val="005576FC"/>
    <w:rsid w:val="00562409"/>
    <w:rsid w:val="0056403E"/>
    <w:rsid w:val="005706F6"/>
    <w:rsid w:val="00573B2B"/>
    <w:rsid w:val="00583FDF"/>
    <w:rsid w:val="00584E52"/>
    <w:rsid w:val="005901D2"/>
    <w:rsid w:val="00596A46"/>
    <w:rsid w:val="005A2AE6"/>
    <w:rsid w:val="005A552D"/>
    <w:rsid w:val="005A5898"/>
    <w:rsid w:val="005A7B16"/>
    <w:rsid w:val="005A7FED"/>
    <w:rsid w:val="005B238B"/>
    <w:rsid w:val="005B673E"/>
    <w:rsid w:val="005B75C9"/>
    <w:rsid w:val="005C1A90"/>
    <w:rsid w:val="005C2ADC"/>
    <w:rsid w:val="005C343D"/>
    <w:rsid w:val="005C37DA"/>
    <w:rsid w:val="005C4CC4"/>
    <w:rsid w:val="005C4EB8"/>
    <w:rsid w:val="005D0A24"/>
    <w:rsid w:val="005D1CAB"/>
    <w:rsid w:val="005D390D"/>
    <w:rsid w:val="005D5384"/>
    <w:rsid w:val="005D7001"/>
    <w:rsid w:val="005D75EE"/>
    <w:rsid w:val="005E6BB7"/>
    <w:rsid w:val="005F096D"/>
    <w:rsid w:val="005F099A"/>
    <w:rsid w:val="005F0F69"/>
    <w:rsid w:val="005F34D2"/>
    <w:rsid w:val="005F3EE2"/>
    <w:rsid w:val="005F4476"/>
    <w:rsid w:val="005F4B3C"/>
    <w:rsid w:val="005F769B"/>
    <w:rsid w:val="00601B8E"/>
    <w:rsid w:val="00607C21"/>
    <w:rsid w:val="00607EBA"/>
    <w:rsid w:val="00610E41"/>
    <w:rsid w:val="00611E1D"/>
    <w:rsid w:val="00612B3E"/>
    <w:rsid w:val="006141A4"/>
    <w:rsid w:val="00617E11"/>
    <w:rsid w:val="00620BD0"/>
    <w:rsid w:val="006227CB"/>
    <w:rsid w:val="00623F77"/>
    <w:rsid w:val="00624876"/>
    <w:rsid w:val="006310D4"/>
    <w:rsid w:val="0063152D"/>
    <w:rsid w:val="00634173"/>
    <w:rsid w:val="006344A4"/>
    <w:rsid w:val="006406D9"/>
    <w:rsid w:val="00644420"/>
    <w:rsid w:val="006506A1"/>
    <w:rsid w:val="00650982"/>
    <w:rsid w:val="00652EE4"/>
    <w:rsid w:val="00656AC7"/>
    <w:rsid w:val="00660803"/>
    <w:rsid w:val="0066247A"/>
    <w:rsid w:val="00664234"/>
    <w:rsid w:val="00670936"/>
    <w:rsid w:val="00672E58"/>
    <w:rsid w:val="00673C07"/>
    <w:rsid w:val="00676045"/>
    <w:rsid w:val="006821D1"/>
    <w:rsid w:val="006852E0"/>
    <w:rsid w:val="00685533"/>
    <w:rsid w:val="00690C10"/>
    <w:rsid w:val="006915AE"/>
    <w:rsid w:val="00691D3C"/>
    <w:rsid w:val="00691EF4"/>
    <w:rsid w:val="00692E20"/>
    <w:rsid w:val="006A0093"/>
    <w:rsid w:val="006A03D6"/>
    <w:rsid w:val="006A56B4"/>
    <w:rsid w:val="006A67B8"/>
    <w:rsid w:val="006A683F"/>
    <w:rsid w:val="006A69C0"/>
    <w:rsid w:val="006A6C37"/>
    <w:rsid w:val="006A7283"/>
    <w:rsid w:val="006B1CE5"/>
    <w:rsid w:val="006B6A1D"/>
    <w:rsid w:val="006C20BD"/>
    <w:rsid w:val="006C7106"/>
    <w:rsid w:val="006D0B66"/>
    <w:rsid w:val="006D3D47"/>
    <w:rsid w:val="006D3E97"/>
    <w:rsid w:val="006D683B"/>
    <w:rsid w:val="006E2AB4"/>
    <w:rsid w:val="006E639D"/>
    <w:rsid w:val="006E7FAA"/>
    <w:rsid w:val="006F1570"/>
    <w:rsid w:val="006F3B1D"/>
    <w:rsid w:val="006F4A54"/>
    <w:rsid w:val="006F5E35"/>
    <w:rsid w:val="00700771"/>
    <w:rsid w:val="007045D9"/>
    <w:rsid w:val="0070506A"/>
    <w:rsid w:val="0070582E"/>
    <w:rsid w:val="00705F59"/>
    <w:rsid w:val="00707554"/>
    <w:rsid w:val="00720D1B"/>
    <w:rsid w:val="00726C66"/>
    <w:rsid w:val="007366ED"/>
    <w:rsid w:val="0074152B"/>
    <w:rsid w:val="00743EDE"/>
    <w:rsid w:val="0074522B"/>
    <w:rsid w:val="00771659"/>
    <w:rsid w:val="00781169"/>
    <w:rsid w:val="00781AE5"/>
    <w:rsid w:val="0078570B"/>
    <w:rsid w:val="00791127"/>
    <w:rsid w:val="007918E1"/>
    <w:rsid w:val="007920C6"/>
    <w:rsid w:val="00793828"/>
    <w:rsid w:val="0079387C"/>
    <w:rsid w:val="00795958"/>
    <w:rsid w:val="00797237"/>
    <w:rsid w:val="007B1F1F"/>
    <w:rsid w:val="007B284A"/>
    <w:rsid w:val="007B2982"/>
    <w:rsid w:val="007B3EA6"/>
    <w:rsid w:val="007B7954"/>
    <w:rsid w:val="007D0267"/>
    <w:rsid w:val="007D168F"/>
    <w:rsid w:val="007D24B6"/>
    <w:rsid w:val="007D490F"/>
    <w:rsid w:val="007E20C7"/>
    <w:rsid w:val="007E7116"/>
    <w:rsid w:val="007F0591"/>
    <w:rsid w:val="007F0813"/>
    <w:rsid w:val="007F19EE"/>
    <w:rsid w:val="007F1E83"/>
    <w:rsid w:val="007F4300"/>
    <w:rsid w:val="0080039B"/>
    <w:rsid w:val="008033BE"/>
    <w:rsid w:val="008040FE"/>
    <w:rsid w:val="00810388"/>
    <w:rsid w:val="008117EF"/>
    <w:rsid w:val="00814644"/>
    <w:rsid w:val="00814F22"/>
    <w:rsid w:val="00820C75"/>
    <w:rsid w:val="00827D50"/>
    <w:rsid w:val="00832E92"/>
    <w:rsid w:val="008350F9"/>
    <w:rsid w:val="008367DC"/>
    <w:rsid w:val="00842A27"/>
    <w:rsid w:val="00842CD7"/>
    <w:rsid w:val="00843664"/>
    <w:rsid w:val="00843D10"/>
    <w:rsid w:val="00844A76"/>
    <w:rsid w:val="008478D1"/>
    <w:rsid w:val="00852143"/>
    <w:rsid w:val="008541EE"/>
    <w:rsid w:val="00854390"/>
    <w:rsid w:val="00855F18"/>
    <w:rsid w:val="0085627E"/>
    <w:rsid w:val="008568B5"/>
    <w:rsid w:val="00856EC9"/>
    <w:rsid w:val="00864C7F"/>
    <w:rsid w:val="00864FA7"/>
    <w:rsid w:val="00865247"/>
    <w:rsid w:val="00867E0D"/>
    <w:rsid w:val="00871646"/>
    <w:rsid w:val="0088083C"/>
    <w:rsid w:val="00886714"/>
    <w:rsid w:val="00890E52"/>
    <w:rsid w:val="00894753"/>
    <w:rsid w:val="008956A7"/>
    <w:rsid w:val="00895DBE"/>
    <w:rsid w:val="00896192"/>
    <w:rsid w:val="008A1AE7"/>
    <w:rsid w:val="008A6AC5"/>
    <w:rsid w:val="008A759A"/>
    <w:rsid w:val="008A7E11"/>
    <w:rsid w:val="008B10C9"/>
    <w:rsid w:val="008B1BB2"/>
    <w:rsid w:val="008C3587"/>
    <w:rsid w:val="008D253B"/>
    <w:rsid w:val="008D28A4"/>
    <w:rsid w:val="008D421F"/>
    <w:rsid w:val="008D558F"/>
    <w:rsid w:val="008D6265"/>
    <w:rsid w:val="008F5F2A"/>
    <w:rsid w:val="008F6171"/>
    <w:rsid w:val="008F63C1"/>
    <w:rsid w:val="008F7081"/>
    <w:rsid w:val="009002DC"/>
    <w:rsid w:val="009007EF"/>
    <w:rsid w:val="00901211"/>
    <w:rsid w:val="00903AC4"/>
    <w:rsid w:val="0090683D"/>
    <w:rsid w:val="00907E0A"/>
    <w:rsid w:val="00907ED2"/>
    <w:rsid w:val="009125F4"/>
    <w:rsid w:val="009133D2"/>
    <w:rsid w:val="00921669"/>
    <w:rsid w:val="00922F3A"/>
    <w:rsid w:val="00925428"/>
    <w:rsid w:val="00931392"/>
    <w:rsid w:val="009329A6"/>
    <w:rsid w:val="009333D7"/>
    <w:rsid w:val="00933D3D"/>
    <w:rsid w:val="00933E38"/>
    <w:rsid w:val="009350BA"/>
    <w:rsid w:val="00936BA5"/>
    <w:rsid w:val="009411A3"/>
    <w:rsid w:val="009413C5"/>
    <w:rsid w:val="00946824"/>
    <w:rsid w:val="00947CAD"/>
    <w:rsid w:val="009507BA"/>
    <w:rsid w:val="00950CF2"/>
    <w:rsid w:val="009602CF"/>
    <w:rsid w:val="009612EB"/>
    <w:rsid w:val="00962099"/>
    <w:rsid w:val="00971CBA"/>
    <w:rsid w:val="009761CD"/>
    <w:rsid w:val="0098758A"/>
    <w:rsid w:val="00990121"/>
    <w:rsid w:val="00992C99"/>
    <w:rsid w:val="00996E9D"/>
    <w:rsid w:val="0099746B"/>
    <w:rsid w:val="009A3411"/>
    <w:rsid w:val="009A4833"/>
    <w:rsid w:val="009A772B"/>
    <w:rsid w:val="009B1B5F"/>
    <w:rsid w:val="009B2D05"/>
    <w:rsid w:val="009B6713"/>
    <w:rsid w:val="009B6893"/>
    <w:rsid w:val="009C4B7A"/>
    <w:rsid w:val="009C5107"/>
    <w:rsid w:val="009C5195"/>
    <w:rsid w:val="009C5C31"/>
    <w:rsid w:val="009C61A1"/>
    <w:rsid w:val="009C75B0"/>
    <w:rsid w:val="009D1CE3"/>
    <w:rsid w:val="009D21DE"/>
    <w:rsid w:val="009D4D52"/>
    <w:rsid w:val="009E04E4"/>
    <w:rsid w:val="009E236D"/>
    <w:rsid w:val="009E4965"/>
    <w:rsid w:val="009E6F49"/>
    <w:rsid w:val="009F2A0B"/>
    <w:rsid w:val="009F39A9"/>
    <w:rsid w:val="009F55F5"/>
    <w:rsid w:val="009F6976"/>
    <w:rsid w:val="00A01EF4"/>
    <w:rsid w:val="00A04C37"/>
    <w:rsid w:val="00A06C9C"/>
    <w:rsid w:val="00A10A01"/>
    <w:rsid w:val="00A11469"/>
    <w:rsid w:val="00A147E3"/>
    <w:rsid w:val="00A15416"/>
    <w:rsid w:val="00A20095"/>
    <w:rsid w:val="00A30957"/>
    <w:rsid w:val="00A367D7"/>
    <w:rsid w:val="00A3708C"/>
    <w:rsid w:val="00A416E1"/>
    <w:rsid w:val="00A42EBC"/>
    <w:rsid w:val="00A436BA"/>
    <w:rsid w:val="00A4474B"/>
    <w:rsid w:val="00A46064"/>
    <w:rsid w:val="00A56B33"/>
    <w:rsid w:val="00A57027"/>
    <w:rsid w:val="00A616B0"/>
    <w:rsid w:val="00A624A5"/>
    <w:rsid w:val="00A65026"/>
    <w:rsid w:val="00A65CDA"/>
    <w:rsid w:val="00A71572"/>
    <w:rsid w:val="00A749EB"/>
    <w:rsid w:val="00A75BCB"/>
    <w:rsid w:val="00A80E0A"/>
    <w:rsid w:val="00A81616"/>
    <w:rsid w:val="00A82660"/>
    <w:rsid w:val="00A86685"/>
    <w:rsid w:val="00A86699"/>
    <w:rsid w:val="00A90238"/>
    <w:rsid w:val="00A91A25"/>
    <w:rsid w:val="00A94A75"/>
    <w:rsid w:val="00A94BA0"/>
    <w:rsid w:val="00A95510"/>
    <w:rsid w:val="00AA0F23"/>
    <w:rsid w:val="00AA2B90"/>
    <w:rsid w:val="00AA3C0D"/>
    <w:rsid w:val="00AA6223"/>
    <w:rsid w:val="00AA7069"/>
    <w:rsid w:val="00AB14E7"/>
    <w:rsid w:val="00AB3881"/>
    <w:rsid w:val="00AB3FEE"/>
    <w:rsid w:val="00AD465E"/>
    <w:rsid w:val="00AD6F71"/>
    <w:rsid w:val="00AE344B"/>
    <w:rsid w:val="00AE445B"/>
    <w:rsid w:val="00AE4491"/>
    <w:rsid w:val="00AE46A2"/>
    <w:rsid w:val="00AE50D2"/>
    <w:rsid w:val="00AE69A4"/>
    <w:rsid w:val="00AE6B70"/>
    <w:rsid w:val="00AF16F4"/>
    <w:rsid w:val="00AF3FE3"/>
    <w:rsid w:val="00AF6906"/>
    <w:rsid w:val="00B0569A"/>
    <w:rsid w:val="00B07EE9"/>
    <w:rsid w:val="00B232FB"/>
    <w:rsid w:val="00B248D6"/>
    <w:rsid w:val="00B250D6"/>
    <w:rsid w:val="00B27866"/>
    <w:rsid w:val="00B3136A"/>
    <w:rsid w:val="00B33413"/>
    <w:rsid w:val="00B4114A"/>
    <w:rsid w:val="00B4199D"/>
    <w:rsid w:val="00B42143"/>
    <w:rsid w:val="00B42C15"/>
    <w:rsid w:val="00B443FC"/>
    <w:rsid w:val="00B44C2A"/>
    <w:rsid w:val="00B46C4A"/>
    <w:rsid w:val="00B5151B"/>
    <w:rsid w:val="00B519B6"/>
    <w:rsid w:val="00B5302D"/>
    <w:rsid w:val="00B5668D"/>
    <w:rsid w:val="00B57FCD"/>
    <w:rsid w:val="00B61BBD"/>
    <w:rsid w:val="00B66D77"/>
    <w:rsid w:val="00B66D83"/>
    <w:rsid w:val="00B66E17"/>
    <w:rsid w:val="00B673F1"/>
    <w:rsid w:val="00B73C19"/>
    <w:rsid w:val="00B75DF2"/>
    <w:rsid w:val="00B77473"/>
    <w:rsid w:val="00B95D3B"/>
    <w:rsid w:val="00BA054B"/>
    <w:rsid w:val="00BA1036"/>
    <w:rsid w:val="00BA25C5"/>
    <w:rsid w:val="00BA63A2"/>
    <w:rsid w:val="00BA6AC2"/>
    <w:rsid w:val="00BA7BC5"/>
    <w:rsid w:val="00BB0439"/>
    <w:rsid w:val="00BB136A"/>
    <w:rsid w:val="00BB3740"/>
    <w:rsid w:val="00BB43F6"/>
    <w:rsid w:val="00BB6661"/>
    <w:rsid w:val="00BB7823"/>
    <w:rsid w:val="00BC1857"/>
    <w:rsid w:val="00BC2107"/>
    <w:rsid w:val="00BC2BD2"/>
    <w:rsid w:val="00BC2D91"/>
    <w:rsid w:val="00BC5D15"/>
    <w:rsid w:val="00BD728E"/>
    <w:rsid w:val="00BE2D38"/>
    <w:rsid w:val="00BE4FB6"/>
    <w:rsid w:val="00BE7781"/>
    <w:rsid w:val="00BF185C"/>
    <w:rsid w:val="00C009AD"/>
    <w:rsid w:val="00C01C4B"/>
    <w:rsid w:val="00C03602"/>
    <w:rsid w:val="00C04070"/>
    <w:rsid w:val="00C05593"/>
    <w:rsid w:val="00C0623F"/>
    <w:rsid w:val="00C10EF7"/>
    <w:rsid w:val="00C21BE4"/>
    <w:rsid w:val="00C24549"/>
    <w:rsid w:val="00C25042"/>
    <w:rsid w:val="00C25A8B"/>
    <w:rsid w:val="00C27301"/>
    <w:rsid w:val="00C303C0"/>
    <w:rsid w:val="00C304B1"/>
    <w:rsid w:val="00C312B5"/>
    <w:rsid w:val="00C3176D"/>
    <w:rsid w:val="00C33125"/>
    <w:rsid w:val="00C33D96"/>
    <w:rsid w:val="00C35975"/>
    <w:rsid w:val="00C3783A"/>
    <w:rsid w:val="00C43554"/>
    <w:rsid w:val="00C44BD7"/>
    <w:rsid w:val="00C4687B"/>
    <w:rsid w:val="00C47AD7"/>
    <w:rsid w:val="00C50D13"/>
    <w:rsid w:val="00C5294D"/>
    <w:rsid w:val="00C53C55"/>
    <w:rsid w:val="00C556DC"/>
    <w:rsid w:val="00C55C04"/>
    <w:rsid w:val="00C56C1B"/>
    <w:rsid w:val="00C57425"/>
    <w:rsid w:val="00C613A0"/>
    <w:rsid w:val="00C81CF4"/>
    <w:rsid w:val="00C82785"/>
    <w:rsid w:val="00C834C4"/>
    <w:rsid w:val="00C8393A"/>
    <w:rsid w:val="00C842C9"/>
    <w:rsid w:val="00C84775"/>
    <w:rsid w:val="00C85701"/>
    <w:rsid w:val="00C877D0"/>
    <w:rsid w:val="00C904BF"/>
    <w:rsid w:val="00C938DF"/>
    <w:rsid w:val="00C9398F"/>
    <w:rsid w:val="00C94504"/>
    <w:rsid w:val="00CA05B6"/>
    <w:rsid w:val="00CB0A70"/>
    <w:rsid w:val="00CC0E1F"/>
    <w:rsid w:val="00CC3133"/>
    <w:rsid w:val="00CC3E48"/>
    <w:rsid w:val="00CC558F"/>
    <w:rsid w:val="00CC74CC"/>
    <w:rsid w:val="00CD17AC"/>
    <w:rsid w:val="00CD3189"/>
    <w:rsid w:val="00CE48D5"/>
    <w:rsid w:val="00CE6909"/>
    <w:rsid w:val="00CE6A54"/>
    <w:rsid w:val="00CF1B39"/>
    <w:rsid w:val="00D11232"/>
    <w:rsid w:val="00D12EB1"/>
    <w:rsid w:val="00D15411"/>
    <w:rsid w:val="00D251E3"/>
    <w:rsid w:val="00D3240C"/>
    <w:rsid w:val="00D3368F"/>
    <w:rsid w:val="00D33C5E"/>
    <w:rsid w:val="00D36F94"/>
    <w:rsid w:val="00D41335"/>
    <w:rsid w:val="00D424ED"/>
    <w:rsid w:val="00D44533"/>
    <w:rsid w:val="00D44D46"/>
    <w:rsid w:val="00D44E53"/>
    <w:rsid w:val="00D45C6E"/>
    <w:rsid w:val="00D45D98"/>
    <w:rsid w:val="00D46FD9"/>
    <w:rsid w:val="00D4762D"/>
    <w:rsid w:val="00D53CAC"/>
    <w:rsid w:val="00D541E6"/>
    <w:rsid w:val="00D54BC9"/>
    <w:rsid w:val="00D559A4"/>
    <w:rsid w:val="00D57CAC"/>
    <w:rsid w:val="00D62B9F"/>
    <w:rsid w:val="00D63B60"/>
    <w:rsid w:val="00D65C63"/>
    <w:rsid w:val="00D66CD5"/>
    <w:rsid w:val="00D67DB3"/>
    <w:rsid w:val="00D73D83"/>
    <w:rsid w:val="00D74736"/>
    <w:rsid w:val="00D74F3F"/>
    <w:rsid w:val="00D76A3C"/>
    <w:rsid w:val="00D77B44"/>
    <w:rsid w:val="00D81A96"/>
    <w:rsid w:val="00D914A7"/>
    <w:rsid w:val="00D920F6"/>
    <w:rsid w:val="00D92DA5"/>
    <w:rsid w:val="00DA099C"/>
    <w:rsid w:val="00DA191C"/>
    <w:rsid w:val="00DA418F"/>
    <w:rsid w:val="00DB50FB"/>
    <w:rsid w:val="00DB566D"/>
    <w:rsid w:val="00DB6333"/>
    <w:rsid w:val="00DB6569"/>
    <w:rsid w:val="00DC32BD"/>
    <w:rsid w:val="00DC5157"/>
    <w:rsid w:val="00DD010E"/>
    <w:rsid w:val="00DD142F"/>
    <w:rsid w:val="00DD58B9"/>
    <w:rsid w:val="00DE46C4"/>
    <w:rsid w:val="00DE562F"/>
    <w:rsid w:val="00DE7BB3"/>
    <w:rsid w:val="00DF0A2B"/>
    <w:rsid w:val="00DF3BA2"/>
    <w:rsid w:val="00DF3FE3"/>
    <w:rsid w:val="00E017B5"/>
    <w:rsid w:val="00E04C39"/>
    <w:rsid w:val="00E0604D"/>
    <w:rsid w:val="00E10087"/>
    <w:rsid w:val="00E11C5F"/>
    <w:rsid w:val="00E175FB"/>
    <w:rsid w:val="00E26562"/>
    <w:rsid w:val="00E27744"/>
    <w:rsid w:val="00E32809"/>
    <w:rsid w:val="00E32E1F"/>
    <w:rsid w:val="00E3646D"/>
    <w:rsid w:val="00E400FA"/>
    <w:rsid w:val="00E4278A"/>
    <w:rsid w:val="00E46CBF"/>
    <w:rsid w:val="00E50158"/>
    <w:rsid w:val="00E534DB"/>
    <w:rsid w:val="00E5378E"/>
    <w:rsid w:val="00E5647C"/>
    <w:rsid w:val="00E74363"/>
    <w:rsid w:val="00E7529C"/>
    <w:rsid w:val="00E756AD"/>
    <w:rsid w:val="00E76783"/>
    <w:rsid w:val="00E80076"/>
    <w:rsid w:val="00E855D3"/>
    <w:rsid w:val="00E91899"/>
    <w:rsid w:val="00E955B3"/>
    <w:rsid w:val="00E96F9A"/>
    <w:rsid w:val="00EA2A8E"/>
    <w:rsid w:val="00EA34D2"/>
    <w:rsid w:val="00EA3BCE"/>
    <w:rsid w:val="00EA603C"/>
    <w:rsid w:val="00EA7070"/>
    <w:rsid w:val="00EB3161"/>
    <w:rsid w:val="00EB37CC"/>
    <w:rsid w:val="00EB3DB8"/>
    <w:rsid w:val="00EB77DC"/>
    <w:rsid w:val="00EC16E5"/>
    <w:rsid w:val="00ED0060"/>
    <w:rsid w:val="00ED33FC"/>
    <w:rsid w:val="00EE5BB9"/>
    <w:rsid w:val="00EF0451"/>
    <w:rsid w:val="00EF3DF2"/>
    <w:rsid w:val="00EF47A8"/>
    <w:rsid w:val="00EF6DDF"/>
    <w:rsid w:val="00EF739E"/>
    <w:rsid w:val="00F00F66"/>
    <w:rsid w:val="00F04075"/>
    <w:rsid w:val="00F0447E"/>
    <w:rsid w:val="00F120CF"/>
    <w:rsid w:val="00F13D65"/>
    <w:rsid w:val="00F14DAA"/>
    <w:rsid w:val="00F150B2"/>
    <w:rsid w:val="00F163C2"/>
    <w:rsid w:val="00F16454"/>
    <w:rsid w:val="00F246B1"/>
    <w:rsid w:val="00F250F1"/>
    <w:rsid w:val="00F367E3"/>
    <w:rsid w:val="00F417F1"/>
    <w:rsid w:val="00F41D30"/>
    <w:rsid w:val="00F41ECF"/>
    <w:rsid w:val="00F42F3E"/>
    <w:rsid w:val="00F43360"/>
    <w:rsid w:val="00F44473"/>
    <w:rsid w:val="00F45358"/>
    <w:rsid w:val="00F47DFF"/>
    <w:rsid w:val="00F5314D"/>
    <w:rsid w:val="00F5516A"/>
    <w:rsid w:val="00F55991"/>
    <w:rsid w:val="00F573CC"/>
    <w:rsid w:val="00F57495"/>
    <w:rsid w:val="00F57608"/>
    <w:rsid w:val="00F57F54"/>
    <w:rsid w:val="00F60235"/>
    <w:rsid w:val="00F64530"/>
    <w:rsid w:val="00F65A02"/>
    <w:rsid w:val="00F65B0D"/>
    <w:rsid w:val="00F73FD5"/>
    <w:rsid w:val="00F75CF3"/>
    <w:rsid w:val="00F763F7"/>
    <w:rsid w:val="00F80851"/>
    <w:rsid w:val="00F80F54"/>
    <w:rsid w:val="00F823E0"/>
    <w:rsid w:val="00F85D61"/>
    <w:rsid w:val="00F878BC"/>
    <w:rsid w:val="00F90C01"/>
    <w:rsid w:val="00F9537E"/>
    <w:rsid w:val="00F96E69"/>
    <w:rsid w:val="00FA62AB"/>
    <w:rsid w:val="00FB0427"/>
    <w:rsid w:val="00FB4023"/>
    <w:rsid w:val="00FB5E71"/>
    <w:rsid w:val="00FC0DA2"/>
    <w:rsid w:val="00FC2972"/>
    <w:rsid w:val="00FC56CA"/>
    <w:rsid w:val="00FC57E6"/>
    <w:rsid w:val="00FD1CEE"/>
    <w:rsid w:val="00FD5162"/>
    <w:rsid w:val="00FD6E8E"/>
    <w:rsid w:val="00FD7A0E"/>
    <w:rsid w:val="00FE4A99"/>
    <w:rsid w:val="00FF2B12"/>
    <w:rsid w:val="48071B67"/>
    <w:rsid w:val="4A1A02D8"/>
    <w:rsid w:val="6361293B"/>
    <w:rsid w:val="75A12B7A"/>
    <w:rsid w:val="7D37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4">
    <w:name w:val="Document Map"/>
    <w:basedOn w:val="1"/>
    <w:link w:val="23"/>
    <w:unhideWhenUsed/>
    <w:qFormat/>
    <w:uiPriority w:val="99"/>
    <w:rPr>
      <w:rFonts w:ascii="Microsoft YaHei UI" w:eastAsia="Microsoft YaHei UI"/>
      <w:sz w:val="18"/>
      <w:szCs w:val="18"/>
    </w:rPr>
  </w:style>
  <w:style w:type="paragraph" w:styleId="5">
    <w:name w:val="Date"/>
    <w:basedOn w:val="1"/>
    <w:next w:val="1"/>
    <w:link w:val="25"/>
    <w:unhideWhenUsed/>
    <w:qFormat/>
    <w:uiPriority w:val="99"/>
    <w:pPr>
      <w:ind w:left="100" w:leftChars="2500"/>
    </w:pPr>
  </w:style>
  <w:style w:type="paragraph" w:styleId="6">
    <w:name w:val="Balloon Text"/>
    <w:basedOn w:val="1"/>
    <w:link w:val="24"/>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pPr>
    <w:rPr>
      <w:rFonts w:ascii="仿宋_GB2312" w:eastAsia="仿宋_GB2312"/>
      <w:b/>
      <w:bCs/>
      <w:sz w:val="32"/>
      <w:szCs w:val="32"/>
    </w:r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pPr>
      <w:spacing w:before="100" w:beforeAutospacing="1" w:after="100" w:afterAutospacing="1"/>
    </w:pPr>
  </w:style>
  <w:style w:type="character" w:styleId="13">
    <w:name w:val="Strong"/>
    <w:basedOn w:val="12"/>
    <w:qFormat/>
    <w:uiPriority w:val="22"/>
    <w:rPr>
      <w:b/>
      <w:b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标题 1 字符"/>
    <w:basedOn w:val="12"/>
    <w:link w:val="2"/>
    <w:qFormat/>
    <w:uiPriority w:val="9"/>
    <w:rPr>
      <w:b/>
      <w:bCs/>
      <w:kern w:val="44"/>
      <w:sz w:val="44"/>
      <w:szCs w:val="44"/>
    </w:rPr>
  </w:style>
  <w:style w:type="paragraph" w:customStyle="1" w:styleId="19">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0">
    <w:name w:val="标题 2 字符"/>
    <w:basedOn w:val="12"/>
    <w:link w:val="3"/>
    <w:qFormat/>
    <w:uiPriority w:val="9"/>
    <w:rPr>
      <w:rFonts w:asciiTheme="majorHAnsi" w:hAnsiTheme="majorHAnsi" w:eastAsiaTheme="majorEastAsia" w:cstheme="majorBidi"/>
      <w:b/>
      <w:bCs/>
      <w:sz w:val="32"/>
      <w:szCs w:val="32"/>
    </w:rPr>
  </w:style>
  <w:style w:type="paragraph" w:customStyle="1" w:styleId="21">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paragraph" w:customStyle="1" w:styleId="22">
    <w:name w:val="Char Char7"/>
    <w:basedOn w:val="4"/>
    <w:qFormat/>
    <w:uiPriority w:val="0"/>
    <w:pPr>
      <w:widowControl w:val="0"/>
      <w:shd w:val="clear" w:color="auto" w:fill="000080"/>
      <w:adjustRightInd w:val="0"/>
      <w:spacing w:line="436" w:lineRule="exact"/>
      <w:jc w:val="both"/>
    </w:pPr>
    <w:rPr>
      <w:rFonts w:ascii="Times New Roman" w:hAnsi="Times New Roman" w:eastAsia="方正仿宋_GBK" w:cs="Times New Roman"/>
      <w:kern w:val="2"/>
      <w:sz w:val="32"/>
      <w:szCs w:val="20"/>
    </w:rPr>
  </w:style>
  <w:style w:type="character" w:customStyle="1" w:styleId="23">
    <w:name w:val="文档结构图 字符"/>
    <w:basedOn w:val="12"/>
    <w:link w:val="4"/>
    <w:semiHidden/>
    <w:qFormat/>
    <w:uiPriority w:val="99"/>
    <w:rPr>
      <w:rFonts w:ascii="Microsoft YaHei UI" w:hAnsi="宋体" w:eastAsia="Microsoft YaHei UI" w:cs="宋体"/>
      <w:kern w:val="0"/>
      <w:sz w:val="18"/>
      <w:szCs w:val="18"/>
    </w:rPr>
  </w:style>
  <w:style w:type="character" w:customStyle="1" w:styleId="24">
    <w:name w:val="批注框文本 字符"/>
    <w:basedOn w:val="12"/>
    <w:link w:val="6"/>
    <w:semiHidden/>
    <w:qFormat/>
    <w:uiPriority w:val="99"/>
    <w:rPr>
      <w:rFonts w:ascii="宋体" w:hAnsi="宋体" w:eastAsia="宋体" w:cs="宋体"/>
      <w:kern w:val="0"/>
      <w:sz w:val="18"/>
      <w:szCs w:val="18"/>
    </w:rPr>
  </w:style>
  <w:style w:type="character" w:customStyle="1" w:styleId="25">
    <w:name w:val="日期 字符"/>
    <w:basedOn w:val="12"/>
    <w:link w:val="5"/>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8C601-2F03-4DDC-A068-EFECADCF5020}">
  <ds:schemaRefs/>
</ds:datastoreItem>
</file>

<file path=docProps/app.xml><?xml version="1.0" encoding="utf-8"?>
<Properties xmlns="http://schemas.openxmlformats.org/officeDocument/2006/extended-properties" xmlns:vt="http://schemas.openxmlformats.org/officeDocument/2006/docPropsVTypes">
  <Template>Normal.dotm</Template>
  <Pages>67</Pages>
  <Words>4539</Words>
  <Characters>25877</Characters>
  <Lines>215</Lines>
  <Paragraphs>60</Paragraphs>
  <ScaleCrop>false</ScaleCrop>
  <LinksUpToDate>false</LinksUpToDate>
  <CharactersWithSpaces>30356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2020-11-25T17:45:00Z</dcterms:created>
  <dc:creator>gllg1</dc:creator>
  <cp:lastModifiedBy>Administrator</cp:lastModifiedBy>
  <cp:lastPrinted>2021-12-20T00:30:00Z</cp:lastPrinted>
  <dcterms:modified xsi:type="dcterms:W3CDTF">2023-09-14T02:58:10Z</dcterms:modified>
  <cp:revision>557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